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2F" w:rsidRDefault="00236F2F" w:rsidP="00236F2F">
      <w:pPr>
        <w:pStyle w:val="Default"/>
        <w:rPr>
          <w:rFonts w:eastAsia="新細明體"/>
          <w:sz w:val="32"/>
          <w:szCs w:val="32"/>
        </w:rPr>
      </w:pPr>
      <w:r>
        <w:t></w:t>
      </w:r>
      <w:r>
        <w:rPr>
          <w:sz w:val="32"/>
          <w:szCs w:val="32"/>
        </w:rPr>
        <w:t></w:t>
      </w:r>
      <w:r>
        <w:rPr>
          <w:rFonts w:ascii="新細明體" w:eastAsia="新細明體" w:cs="新細明體" w:hint="eastAsia"/>
          <w:sz w:val="32"/>
          <w:szCs w:val="32"/>
        </w:rPr>
        <w:t>重要法規摘錄</w:t>
      </w:r>
      <w:r>
        <w:rPr>
          <w:rFonts w:eastAsia="新細明體"/>
          <w:sz w:val="32"/>
          <w:szCs w:val="32"/>
        </w:rPr>
        <w:t></w:t>
      </w:r>
    </w:p>
    <w:p w:rsidR="00236F2F" w:rsidRDefault="00236F2F" w:rsidP="00236F2F">
      <w:pPr>
        <w:pStyle w:val="Default"/>
        <w:rPr>
          <w:rFonts w:ascii="新細明體" w:eastAsia="新細明體" w:hAnsi="Calibri" w:cs="新細明體"/>
          <w:sz w:val="23"/>
          <w:szCs w:val="23"/>
        </w:rPr>
      </w:pPr>
      <w:r>
        <w:rPr>
          <w:rFonts w:ascii="新細明體" w:eastAsia="新細明體" w:cs="新細明體" w:hint="eastAsia"/>
          <w:sz w:val="23"/>
          <w:szCs w:val="23"/>
        </w:rPr>
        <w:t>依教育人員任用條例第</w:t>
      </w:r>
      <w:r>
        <w:rPr>
          <w:rFonts w:ascii="Calibri" w:eastAsia="新細明體" w:hAnsi="Calibri" w:cs="Calibri"/>
          <w:sz w:val="23"/>
          <w:szCs w:val="23"/>
        </w:rPr>
        <w:t>17</w:t>
      </w:r>
      <w:r>
        <w:rPr>
          <w:rFonts w:ascii="新細明體" w:eastAsia="新細明體" w:hAnsi="Calibri" w:cs="新細明體" w:hint="eastAsia"/>
          <w:sz w:val="23"/>
          <w:szCs w:val="23"/>
        </w:rPr>
        <w:t>、</w:t>
      </w:r>
      <w:r>
        <w:rPr>
          <w:rFonts w:ascii="Calibri" w:eastAsia="新細明體" w:hAnsi="Calibri" w:cs="Calibri"/>
          <w:sz w:val="23"/>
          <w:szCs w:val="23"/>
        </w:rPr>
        <w:t>18</w:t>
      </w:r>
      <w:r>
        <w:rPr>
          <w:rFonts w:ascii="新細明體" w:eastAsia="新細明體" w:hAnsi="Calibri" w:cs="新細明體" w:hint="eastAsia"/>
          <w:sz w:val="23"/>
          <w:szCs w:val="23"/>
        </w:rPr>
        <w:t>條規定，有關教授之任用應曾任副教授</w:t>
      </w:r>
      <w:r>
        <w:rPr>
          <w:rFonts w:ascii="Calibri" w:eastAsia="新細明體" w:hAnsi="Calibri" w:cs="Calibri"/>
          <w:sz w:val="23"/>
          <w:szCs w:val="23"/>
        </w:rPr>
        <w:t>3</w:t>
      </w:r>
      <w:r>
        <w:rPr>
          <w:rFonts w:ascii="新細明體" w:eastAsia="新細明體" w:hAnsi="Calibri" w:cs="新細明體" w:hint="eastAsia"/>
          <w:sz w:val="23"/>
          <w:szCs w:val="23"/>
        </w:rPr>
        <w:t>年以上，成績優良，並有「專門著作」者；副教授之任用應曾任助理教授</w:t>
      </w:r>
      <w:r>
        <w:rPr>
          <w:rFonts w:ascii="Calibri" w:eastAsia="新細明體" w:hAnsi="Calibri" w:cs="Calibri"/>
          <w:sz w:val="23"/>
          <w:szCs w:val="23"/>
        </w:rPr>
        <w:t>3</w:t>
      </w:r>
      <w:r>
        <w:rPr>
          <w:rFonts w:ascii="新細明體" w:eastAsia="新細明體" w:hAnsi="Calibri" w:cs="新細明體" w:hint="eastAsia"/>
          <w:sz w:val="23"/>
          <w:szCs w:val="23"/>
        </w:rPr>
        <w:t>年以上，成績優良，並有「專門著作」者。所稱「專門著作」應依「專科以上學校教師資格審定辦法」第</w:t>
      </w:r>
      <w:r>
        <w:rPr>
          <w:rFonts w:ascii="Calibri" w:eastAsia="新細明體" w:hAnsi="Calibri" w:cs="Calibri"/>
          <w:sz w:val="23"/>
          <w:szCs w:val="23"/>
        </w:rPr>
        <w:t>11</w:t>
      </w:r>
      <w:r>
        <w:rPr>
          <w:rFonts w:ascii="新細明體" w:eastAsia="新細明體" w:hAnsi="Calibri" w:cs="新細明體" w:hint="eastAsia"/>
          <w:sz w:val="23"/>
          <w:szCs w:val="23"/>
        </w:rPr>
        <w:t>至</w:t>
      </w:r>
      <w:r>
        <w:rPr>
          <w:rFonts w:ascii="Calibri" w:eastAsia="新細明體" w:hAnsi="Calibri" w:cs="Calibri"/>
          <w:sz w:val="23"/>
          <w:szCs w:val="23"/>
        </w:rPr>
        <w:t>17</w:t>
      </w:r>
      <w:r>
        <w:rPr>
          <w:rFonts w:ascii="新細明體" w:eastAsia="新細明體" w:hAnsi="Calibri" w:cs="新細明體" w:hint="eastAsia"/>
          <w:sz w:val="23"/>
          <w:szCs w:val="23"/>
        </w:rPr>
        <w:t>條規定辦理。</w:t>
      </w:r>
    </w:p>
    <w:p w:rsidR="00236F2F" w:rsidRDefault="00236F2F" w:rsidP="00236F2F">
      <w:pPr>
        <w:pStyle w:val="Default"/>
        <w:rPr>
          <w:rFonts w:ascii="新細明體" w:eastAsia="新細明體" w:hAnsi="Calibri" w:cs="新細明體"/>
          <w:sz w:val="23"/>
          <w:szCs w:val="23"/>
        </w:rPr>
      </w:pPr>
      <w:r>
        <w:rPr>
          <w:rFonts w:ascii="新細明體" w:eastAsia="新細明體" w:hAnsi="Calibri" w:cs="新細明體" w:hint="eastAsia"/>
          <w:sz w:val="23"/>
          <w:szCs w:val="23"/>
        </w:rPr>
        <w:t>依專科以上學校教師資格審定辦法」第</w:t>
      </w:r>
      <w:r>
        <w:rPr>
          <w:rFonts w:ascii="Calibri" w:eastAsia="新細明體" w:hAnsi="Calibri" w:cs="Calibri"/>
          <w:sz w:val="23"/>
          <w:szCs w:val="23"/>
        </w:rPr>
        <w:t>11</w:t>
      </w:r>
      <w:r>
        <w:rPr>
          <w:rFonts w:ascii="新細明體" w:eastAsia="新細明體" w:hAnsi="Calibri" w:cs="新細明體" w:hint="eastAsia"/>
          <w:sz w:val="23"/>
          <w:szCs w:val="23"/>
        </w:rPr>
        <w:t>條規定，專門著作包含代表著作及參考著作，此外，依同辦法第</w:t>
      </w:r>
      <w:r>
        <w:rPr>
          <w:rFonts w:ascii="Calibri" w:eastAsia="新細明體" w:hAnsi="Calibri" w:cs="Calibri"/>
          <w:sz w:val="23"/>
          <w:szCs w:val="23"/>
        </w:rPr>
        <w:t>17</w:t>
      </w:r>
      <w:r>
        <w:rPr>
          <w:rFonts w:ascii="新細明體" w:eastAsia="新細明體" w:hAnsi="Calibri" w:cs="新細明體" w:hint="eastAsia"/>
          <w:sz w:val="23"/>
          <w:szCs w:val="23"/>
        </w:rPr>
        <w:t>條規定，送審教師可提供參考資料。</w:t>
      </w:r>
    </w:p>
    <w:p w:rsidR="00236F2F" w:rsidRDefault="00236F2F" w:rsidP="00236F2F">
      <w:pPr>
        <w:pStyle w:val="Default"/>
        <w:rPr>
          <w:rFonts w:ascii="新細明體" w:eastAsia="新細明體" w:hAnsi="Calibri" w:cs="新細明體"/>
          <w:sz w:val="23"/>
          <w:szCs w:val="23"/>
        </w:rPr>
      </w:pPr>
      <w:r>
        <w:rPr>
          <w:rFonts w:ascii="新細明體" w:eastAsia="新細明體" w:hAnsi="Calibri" w:cs="新細明體" w:hint="eastAsia"/>
          <w:sz w:val="23"/>
          <w:szCs w:val="23"/>
        </w:rPr>
        <w:t>以下就上開辦法中有關專門著作及參考資料相關規定摘錄如下：</w:t>
      </w:r>
    </w:p>
    <w:p w:rsidR="00236F2F" w:rsidRDefault="00236F2F" w:rsidP="00236F2F">
      <w:pPr>
        <w:pStyle w:val="Default"/>
        <w:rPr>
          <w:rFonts w:ascii="Calibri" w:eastAsia="新細明體" w:hAnsi="Calibri" w:cs="Calibri"/>
          <w:sz w:val="20"/>
          <w:szCs w:val="20"/>
        </w:rPr>
      </w:pPr>
      <w:r>
        <w:rPr>
          <w:rFonts w:ascii="新細明體" w:eastAsia="新細明體" w:hAnsi="Calibri" w:cs="新細明體" w:hint="eastAsia"/>
          <w:sz w:val="32"/>
          <w:szCs w:val="32"/>
        </w:rPr>
        <w:t>※專門著作</w:t>
      </w:r>
      <w:r>
        <w:rPr>
          <w:rFonts w:ascii="Calibri" w:eastAsia="新細明體" w:hAnsi="Calibri" w:cs="Calibri"/>
          <w:b/>
          <w:bCs/>
          <w:sz w:val="32"/>
          <w:szCs w:val="32"/>
        </w:rPr>
        <w:t>(</w:t>
      </w:r>
      <w:r>
        <w:rPr>
          <w:rFonts w:ascii="新細明體" w:eastAsia="新細明體" w:hAnsi="Calibri" w:cs="新細明體" w:hint="eastAsia"/>
          <w:sz w:val="32"/>
          <w:szCs w:val="32"/>
        </w:rPr>
        <w:t>含代表著作及參考著作</w:t>
      </w:r>
      <w:r>
        <w:rPr>
          <w:rFonts w:ascii="Calibri" w:eastAsia="新細明體" w:hAnsi="Calibri" w:cs="Calibri"/>
          <w:b/>
          <w:bCs/>
          <w:sz w:val="32"/>
          <w:szCs w:val="32"/>
        </w:rPr>
        <w:t>)</w:t>
      </w:r>
      <w:r>
        <w:rPr>
          <w:rFonts w:ascii="Calibri" w:eastAsia="新細明體" w:hAnsi="Calibri" w:cs="Calibri"/>
          <w:sz w:val="20"/>
          <w:szCs w:val="20"/>
        </w:rPr>
        <w:t xml:space="preserve">2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一、有送審人個人之原創性，且非以整理、增刪、組合或編排他人著作而成之編著或其他非學術性著作送審。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二、已出版公開發行之專書，或於國內外學術或專業刊物發表（含具正式審查程序，並得公開及利用之電子期刊），或經前開刊物出具證明將定期發表，或在國內外具有正式審查程序研討會發表且集結成冊出版公開發行（含以光碟發行）之著作。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三、以外文撰寫者，附具中文提要；如國內無法覓得相關領域內通曉該外文之審查人選時，本部得要求該著作全文翻譯為中文或英文。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四、以二種以上著作送審者，自行擇定代表著作及參考著作；其屬系列之相關研究者，得合併為代表著作。代表著作並應非為曾以其為代表著作送審者。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五、代表著作應為送審人取得前一等級教師資格後</w:t>
      </w:r>
      <w:r w:rsidR="00221C10">
        <w:rPr>
          <w:rFonts w:ascii="細明體" w:eastAsia="細明體" w:cs="細明體" w:hint="eastAsia"/>
          <w:color w:val="auto"/>
          <w:sz w:val="23"/>
          <w:szCs w:val="23"/>
        </w:rPr>
        <w:t>及送審前</w:t>
      </w:r>
      <w:r>
        <w:rPr>
          <w:rFonts w:ascii="細明體" w:eastAsia="細明體" w:cs="細明體" w:hint="eastAsia"/>
          <w:color w:val="auto"/>
          <w:sz w:val="23"/>
          <w:szCs w:val="23"/>
        </w:rPr>
        <w:t>之著作；參考著作應為送審人取得前一等級教師資格後及送審前之著作。</w:t>
      </w:r>
      <w:bookmarkStart w:id="0" w:name="_GoBack"/>
      <w:bookmarkEnd w:id="0"/>
      <w:r>
        <w:rPr>
          <w:rFonts w:ascii="細明體" w:eastAsia="細明體" w:cs="細明體" w:hint="eastAsia"/>
          <w:color w:val="auto"/>
          <w:sz w:val="23"/>
          <w:szCs w:val="23"/>
        </w:rPr>
        <w:t xml:space="preserve"> </w:t>
      </w:r>
    </w:p>
    <w:p w:rsidR="00236F2F" w:rsidRDefault="00236F2F" w:rsidP="00236F2F">
      <w:pPr>
        <w:pStyle w:val="Default"/>
        <w:rPr>
          <w:rFonts w:ascii="細明體" w:eastAsia="細明體" w:hAnsi="Calibri" w:cs="細明體"/>
          <w:color w:val="auto"/>
          <w:sz w:val="23"/>
          <w:szCs w:val="23"/>
        </w:rPr>
      </w:pPr>
    </w:p>
    <w:p w:rsidR="00236F2F" w:rsidRPr="00236F2F" w:rsidRDefault="00236F2F" w:rsidP="00236F2F">
      <w:pPr>
        <w:pStyle w:val="Default"/>
        <w:rPr>
          <w:rFonts w:ascii="細明體" w:eastAsia="細明體" w:hAnsi="Calibri" w:cs="細明體"/>
          <w:b/>
          <w:color w:val="auto"/>
          <w:sz w:val="23"/>
          <w:szCs w:val="23"/>
          <w:u w:val="single"/>
        </w:rPr>
      </w:pPr>
      <w:r w:rsidRPr="00236F2F">
        <w:rPr>
          <w:rFonts w:ascii="細明體" w:eastAsia="細明體" w:hAnsi="Calibri" w:cs="細明體" w:hint="eastAsia"/>
          <w:b/>
          <w:color w:val="auto"/>
          <w:sz w:val="23"/>
          <w:szCs w:val="23"/>
          <w:u w:val="single"/>
        </w:rPr>
        <w:t>補充規定專科以上學校教師資格送審作業須知</w:t>
      </w:r>
      <w:r w:rsidRPr="00236F2F">
        <w:rPr>
          <w:rFonts w:ascii="細明體" w:eastAsia="細明體" w:hAnsi="Calibri" w:cs="細明體"/>
          <w:b/>
          <w:color w:val="auto"/>
          <w:sz w:val="23"/>
          <w:szCs w:val="23"/>
          <w:u w:val="single"/>
        </w:rPr>
        <w:t>(101.12.24</w:t>
      </w:r>
      <w:r w:rsidRPr="00236F2F">
        <w:rPr>
          <w:rFonts w:ascii="細明體" w:eastAsia="細明體" w:hAnsi="Calibri" w:cs="細明體" w:hint="eastAsia"/>
          <w:b/>
          <w:color w:val="auto"/>
          <w:sz w:val="23"/>
          <w:szCs w:val="23"/>
          <w:u w:val="single"/>
        </w:rPr>
        <w:t>修正</w:t>
      </w:r>
      <w:r w:rsidRPr="00236F2F">
        <w:rPr>
          <w:rFonts w:ascii="細明體" w:eastAsia="細明體" w:hAnsi="Calibri" w:cs="細明體"/>
          <w:b/>
          <w:color w:val="auto"/>
          <w:sz w:val="23"/>
          <w:szCs w:val="23"/>
          <w:u w:val="single"/>
        </w:rPr>
        <w:t>)</w:t>
      </w:r>
      <w:r w:rsidRPr="00236F2F">
        <w:rPr>
          <w:rFonts w:ascii="細明體" w:eastAsia="細明體" w:hAnsi="Calibri" w:cs="細明體" w:hint="eastAsia"/>
          <w:b/>
          <w:color w:val="auto"/>
          <w:sz w:val="23"/>
          <w:szCs w:val="23"/>
          <w:u w:val="single"/>
        </w:rPr>
        <w:t>第三點規定：</w:t>
      </w:r>
      <w:r w:rsidRPr="00236F2F">
        <w:rPr>
          <w:rFonts w:ascii="細明體" w:eastAsia="細明體" w:hAnsi="Calibri" w:cs="細明體"/>
          <w:b/>
          <w:color w:val="auto"/>
          <w:sz w:val="23"/>
          <w:szCs w:val="23"/>
          <w:u w:val="single"/>
        </w:rPr>
        <w:t xml:space="preserve"> </w:t>
      </w:r>
    </w:p>
    <w:p w:rsidR="00236F2F" w:rsidRDefault="00236F2F" w:rsidP="00236F2F">
      <w:pPr>
        <w:pStyle w:val="Default"/>
        <w:rPr>
          <w:rFonts w:ascii="細明體" w:eastAsia="細明體" w:hAnsi="Calibri" w:cs="細明體"/>
          <w:color w:val="auto"/>
          <w:sz w:val="23"/>
          <w:szCs w:val="23"/>
        </w:rPr>
      </w:pPr>
      <w:r>
        <w:rPr>
          <w:rFonts w:ascii="細明體" w:eastAsia="細明體" w:hAnsi="Calibri" w:cs="細明體" w:hint="eastAsia"/>
          <w:color w:val="auto"/>
          <w:sz w:val="23"/>
          <w:szCs w:val="23"/>
        </w:rPr>
        <w:t>１、依教育人員任用條例第十六條第一款、第十六條之一第一款，或依八十六年三月十九日教育人員任用條例修正前之第十七條第一款規定，以碩士學位取得講師資格，或以博士學位取得助理教授、副教授資格者，不得再以該學位畢業論文或其論文之一部分，送審較高等級之教師資格。</w:t>
      </w:r>
      <w:r>
        <w:rPr>
          <w:rFonts w:ascii="細明體" w:eastAsia="細明體" w:hAnsi="Calibri" w:cs="細明體"/>
          <w:color w:val="auto"/>
          <w:sz w:val="23"/>
          <w:szCs w:val="23"/>
        </w:rPr>
        <w:t xml:space="preserve"> </w:t>
      </w:r>
    </w:p>
    <w:p w:rsidR="00236F2F" w:rsidRDefault="00236F2F" w:rsidP="00236F2F">
      <w:pPr>
        <w:pStyle w:val="Default"/>
        <w:rPr>
          <w:rFonts w:ascii="細明體" w:eastAsia="細明體" w:hAnsi="Calibri" w:cs="細明體"/>
          <w:color w:val="auto"/>
          <w:sz w:val="23"/>
          <w:szCs w:val="23"/>
        </w:rPr>
      </w:pPr>
      <w:r>
        <w:rPr>
          <w:rFonts w:ascii="細明體" w:eastAsia="細明體" w:hAnsi="Calibri" w:cs="細明體" w:hint="eastAsia"/>
          <w:color w:val="auto"/>
          <w:sz w:val="23"/>
          <w:szCs w:val="23"/>
        </w:rPr>
        <w:t>２、所送審著作性質，應與其任教科目相關（由學校教評會認定）。</w:t>
      </w:r>
      <w:r>
        <w:rPr>
          <w:rFonts w:ascii="細明體" w:eastAsia="細明體" w:hAnsi="Calibri" w:cs="細明體"/>
          <w:color w:val="auto"/>
          <w:sz w:val="23"/>
          <w:szCs w:val="23"/>
        </w:rPr>
        <w:t xml:space="preserve"> </w:t>
      </w:r>
    </w:p>
    <w:p w:rsidR="00236F2F" w:rsidRDefault="00236F2F" w:rsidP="00236F2F">
      <w:pPr>
        <w:pStyle w:val="Default"/>
        <w:rPr>
          <w:rFonts w:ascii="細明體" w:eastAsia="細明體" w:hAnsi="Calibri" w:cs="細明體"/>
          <w:color w:val="auto"/>
          <w:sz w:val="23"/>
          <w:szCs w:val="23"/>
        </w:rPr>
      </w:pPr>
      <w:r>
        <w:rPr>
          <w:rFonts w:ascii="細明體" w:eastAsia="細明體" w:hAnsi="Calibri" w:cs="細明體" w:hint="eastAsia"/>
          <w:color w:val="auto"/>
          <w:sz w:val="23"/>
          <w:szCs w:val="23"/>
        </w:rPr>
        <w:t>３、送審之著作應符合專科以上學校教師資格審定辦法（以下簡稱審定辦法）之規定及下列條件：</w:t>
      </w:r>
      <w:r>
        <w:rPr>
          <w:rFonts w:ascii="細明體" w:eastAsia="細明體" w:hAnsi="Calibri" w:cs="細明體"/>
          <w:color w:val="auto"/>
          <w:sz w:val="23"/>
          <w:szCs w:val="23"/>
        </w:rPr>
        <w:t xml:space="preserve"> </w:t>
      </w:r>
    </w:p>
    <w:p w:rsidR="00236F2F" w:rsidRDefault="00236F2F" w:rsidP="00236F2F">
      <w:pPr>
        <w:pStyle w:val="Default"/>
        <w:rPr>
          <w:rFonts w:ascii="Calibri" w:eastAsia="細明體" w:hAnsi="Calibri" w:cs="Calibri"/>
          <w:color w:val="auto"/>
          <w:sz w:val="20"/>
          <w:szCs w:val="20"/>
        </w:rPr>
      </w:pPr>
      <w:r>
        <w:rPr>
          <w:rFonts w:ascii="細明體" w:eastAsia="細明體" w:hAnsi="Calibri" w:cs="細明體"/>
          <w:color w:val="auto"/>
          <w:sz w:val="23"/>
          <w:szCs w:val="23"/>
        </w:rPr>
        <w:t>(</w:t>
      </w:r>
      <w:r>
        <w:rPr>
          <w:rFonts w:ascii="細明體" w:eastAsia="細明體" w:hAnsi="Calibri" w:cs="細明體" w:hint="eastAsia"/>
          <w:color w:val="auto"/>
          <w:sz w:val="23"/>
          <w:szCs w:val="23"/>
        </w:rPr>
        <w:t>１</w:t>
      </w:r>
      <w:r>
        <w:rPr>
          <w:rFonts w:ascii="細明體" w:eastAsia="細明體" w:hAnsi="Calibri" w:cs="細明體"/>
          <w:color w:val="auto"/>
          <w:sz w:val="23"/>
          <w:szCs w:val="23"/>
        </w:rPr>
        <w:t>)</w:t>
      </w:r>
      <w:r>
        <w:rPr>
          <w:rFonts w:ascii="細明體" w:eastAsia="細明體" w:hAnsi="Calibri" w:cs="細明體" w:hint="eastAsia"/>
          <w:color w:val="auto"/>
          <w:sz w:val="23"/>
          <w:szCs w:val="23"/>
        </w:rPr>
        <w:t>引用資料應註明出處，並附參考書目。</w:t>
      </w:r>
      <w:r>
        <w:rPr>
          <w:rFonts w:ascii="細明體" w:eastAsia="細明體" w:hAnsi="Calibri" w:cs="細明體"/>
          <w:color w:val="auto"/>
          <w:sz w:val="23"/>
          <w:szCs w:val="23"/>
        </w:rPr>
        <w:t xml:space="preserve"> </w:t>
      </w:r>
      <w:r>
        <w:rPr>
          <w:rFonts w:ascii="Calibri" w:eastAsia="細明體" w:hAnsi="Calibri" w:cs="Calibri"/>
          <w:color w:val="auto"/>
          <w:sz w:val="20"/>
          <w:szCs w:val="20"/>
        </w:rPr>
        <w:t xml:space="preserve">3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(２)經出版公開發行著作，應由出版社或圖書公司印製發行，載明作者、出版者、發行人、發行日期、及定價等相關資料。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４、撰寫著作語文不限，以外文撰寫者，應附中文提要。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５、在學術性刊物發表之論文抽印本，如已載明發表之學術性刊物名稱、卷期及時間者，送審時無需附原刊；如未載明者，應附送原刊封面及目錄之影印本，以利審</w:t>
      </w:r>
      <w:r>
        <w:rPr>
          <w:rFonts w:ascii="細明體" w:eastAsia="細明體" w:cs="細明體" w:hint="eastAsia"/>
          <w:color w:val="auto"/>
          <w:sz w:val="23"/>
          <w:szCs w:val="23"/>
        </w:rPr>
        <w:lastRenderedPageBreak/>
        <w:t xml:space="preserve">核。如已為接受將定期發表者，應附接受函之證明。 </w:t>
      </w:r>
    </w:p>
    <w:p w:rsidR="00236F2F" w:rsidRPr="00236F2F" w:rsidRDefault="00236F2F" w:rsidP="00236F2F">
      <w:pPr>
        <w:pStyle w:val="Default"/>
        <w:rPr>
          <w:rFonts w:ascii="新細明體" w:eastAsia="新細明體" w:cs="新細明體" w:hint="eastAsia"/>
          <w:b/>
          <w:color w:val="FF0000"/>
          <w:sz w:val="32"/>
          <w:szCs w:val="32"/>
          <w:u w:val="single"/>
        </w:rPr>
      </w:pPr>
      <w:r w:rsidRPr="00236F2F">
        <w:rPr>
          <w:rFonts w:ascii="細明體" w:eastAsia="細明體" w:cs="細明體" w:hint="eastAsia"/>
          <w:b/>
          <w:color w:val="FF0000"/>
          <w:sz w:val="32"/>
          <w:szCs w:val="32"/>
          <w:u w:val="single"/>
        </w:rPr>
        <w:t>※</w:t>
      </w:r>
      <w:r w:rsidRPr="00236F2F">
        <w:rPr>
          <w:rFonts w:ascii="新細明體" w:eastAsia="新細明體" w:cs="新細明體" w:hint="eastAsia"/>
          <w:b/>
          <w:color w:val="FF0000"/>
          <w:sz w:val="32"/>
          <w:szCs w:val="32"/>
          <w:u w:val="single"/>
        </w:rPr>
        <w:t>代表著作</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一、與送審人任教科目性質相關。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二、非為學位論文之一部分。但未曾以該學位論文送審或屬學位論文延續性研究者，經送審人主動提出說明，並經專業審查認定代表著作具相當程度創新者，不在此限。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三、本次送審代表著作與前次送審代表著作內容近似者，送審時，應檢附前次送審代表著作及本次著作異同對照。 </w:t>
      </w:r>
    </w:p>
    <w:p w:rsidR="00236F2F" w:rsidRDefault="00236F2F" w:rsidP="00236F2F">
      <w:pPr>
        <w:pStyle w:val="Default"/>
        <w:rPr>
          <w:rFonts w:ascii="新細明體" w:eastAsia="新細明體" w:cs="新細明體" w:hint="eastAsia"/>
          <w:color w:val="auto"/>
          <w:sz w:val="23"/>
          <w:szCs w:val="23"/>
        </w:rPr>
      </w:pPr>
      <w:r>
        <w:rPr>
          <w:rFonts w:ascii="細明體" w:eastAsia="細明體" w:cs="細明體" w:hint="eastAsia"/>
          <w:color w:val="auto"/>
          <w:sz w:val="23"/>
          <w:szCs w:val="23"/>
        </w:rPr>
        <w:t>四、</w:t>
      </w:r>
      <w:r>
        <w:rPr>
          <w:rFonts w:ascii="新細明體" w:eastAsia="新細明體" w:cs="新細明體" w:hint="eastAsia"/>
          <w:color w:val="auto"/>
          <w:sz w:val="23"/>
          <w:szCs w:val="23"/>
        </w:rPr>
        <w:t>代表著作應自該刊物出具接受證明之日起一年內發表，並自發表之日起二個月內，將該專門著作送交學校查核並存檔；其因不可歸責於送審人之事由，而未能於一年內發表者，應檢附該刊物出具未能發表原因及確定發表時間之證明，向學校教師評審委員會申請展延，並以該刊物出具接受證明之日起三年內為限。經評審通過展延者，應於一年期限屆滿前，報本部備查。</w:t>
      </w:r>
    </w:p>
    <w:p w:rsidR="00236F2F" w:rsidRDefault="00236F2F" w:rsidP="00236F2F">
      <w:pPr>
        <w:pStyle w:val="Default"/>
        <w:rPr>
          <w:rFonts w:ascii="細明體" w:eastAsia="細明體" w:cs="細明體" w:hint="eastAsia"/>
          <w:color w:val="auto"/>
          <w:sz w:val="23"/>
          <w:szCs w:val="23"/>
        </w:rPr>
      </w:pP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專科以上學校教師資格審定辦法(99.11.24修正)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第12條：前條第一項第四款所定代表著作，應符合下列規定：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一、與送審人任教科目性質相關。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二、非為學位論文之一部分。但未曾以該學位論文送審或屬學位論文延續性研究者，經送審人主動提出說明，並經專業審查認定代表著作具相當程度創新者，不在此限。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未符前項各款規定之一者，不通過其教師資格審定。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第13條：第十一條第四款所定代表著作係數人合著者，僅得由其中一人送審；送審時，送審人以外他人須放棄以該著作作為代表著作送審之權利。送審人應以書面具體說明其參與部分，並由合著人簽章證明之。但有下列情形之一者，不在此限：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一、送審人為中央研究院院士，免繳交合著人簽章證明。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二、送審人為第一作者或送審人為通信（訊）作者，免繳交其國外合著人簽章證明部分。 </w:t>
      </w:r>
    </w:p>
    <w:p w:rsidR="00236F2F" w:rsidRDefault="00236F2F" w:rsidP="00236F2F">
      <w:pPr>
        <w:pStyle w:val="Default"/>
        <w:rPr>
          <w:rFonts w:ascii="細明體" w:eastAsia="細明體" w:cs="細明體" w:hint="eastAsia"/>
          <w:color w:val="auto"/>
          <w:sz w:val="23"/>
          <w:szCs w:val="23"/>
        </w:rPr>
      </w:pP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補充規定專科以上學校教師資格送審作業須知第二點規定： </w:t>
      </w:r>
    </w:p>
    <w:p w:rsidR="00236F2F" w:rsidRDefault="00236F2F" w:rsidP="00236F2F">
      <w:pPr>
        <w:pStyle w:val="Default"/>
        <w:spacing w:after="90"/>
        <w:rPr>
          <w:rFonts w:ascii="細明體" w:eastAsia="細明體" w:cs="細明體" w:hint="eastAsia"/>
          <w:color w:val="auto"/>
          <w:sz w:val="23"/>
          <w:szCs w:val="23"/>
        </w:rPr>
      </w:pPr>
      <w:r>
        <w:rPr>
          <w:rFonts w:ascii="細明體" w:eastAsia="細明體" w:cs="細明體" w:hint="eastAsia"/>
          <w:color w:val="auto"/>
          <w:sz w:val="23"/>
          <w:szCs w:val="23"/>
        </w:rPr>
        <w:t xml:space="preserve">1. 合著人（或共同研究人）應親自簽章，送審人為中央研究院院士者，得免合著人之簽章；其為第一作者或通信（訊）作者，得免國外合著人之簽章。但仍均應繳交合著人證明，並填寫貢獻度。 </w:t>
      </w:r>
    </w:p>
    <w:p w:rsidR="00236F2F" w:rsidRDefault="00236F2F" w:rsidP="00236F2F">
      <w:pPr>
        <w:pStyle w:val="Default"/>
        <w:spacing w:after="90"/>
        <w:rPr>
          <w:rFonts w:ascii="細明體" w:eastAsia="細明體" w:cs="細明體" w:hint="eastAsia"/>
          <w:color w:val="auto"/>
          <w:sz w:val="23"/>
          <w:szCs w:val="23"/>
        </w:rPr>
      </w:pPr>
      <w:r>
        <w:rPr>
          <w:rFonts w:ascii="細明體" w:eastAsia="細明體" w:cs="細明體" w:hint="eastAsia"/>
          <w:color w:val="auto"/>
          <w:sz w:val="23"/>
          <w:szCs w:val="23"/>
        </w:rPr>
        <w:t xml:space="preserve">2. 合著之著作，僅得由一人作為代表著作送審，他人須放棄以該著作作為代表著作送審之權利，但得作為參考著作。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3. 送審人及合著人完成部分或貢獻等欄位應詳細完整逐位填載。 </w:t>
      </w:r>
    </w:p>
    <w:p w:rsidR="00236F2F" w:rsidRDefault="00236F2F" w:rsidP="00236F2F">
      <w:pPr>
        <w:pStyle w:val="Default"/>
        <w:rPr>
          <w:rFonts w:ascii="Calibri" w:eastAsia="細明體" w:hAnsi="Calibri" w:cs="Calibri"/>
          <w:color w:val="auto"/>
          <w:sz w:val="20"/>
          <w:szCs w:val="20"/>
        </w:rPr>
      </w:pPr>
      <w:r>
        <w:rPr>
          <w:rFonts w:ascii="Calibri" w:eastAsia="細明體" w:hAnsi="Calibri" w:cs="Calibri"/>
          <w:color w:val="auto"/>
          <w:sz w:val="20"/>
          <w:szCs w:val="20"/>
        </w:rPr>
        <w:t xml:space="preserve">4 </w:t>
      </w:r>
    </w:p>
    <w:p w:rsidR="00236F2F" w:rsidRDefault="00236F2F" w:rsidP="00236F2F">
      <w:pPr>
        <w:pStyle w:val="Default"/>
        <w:rPr>
          <w:rFonts w:cstheme="minorBidi"/>
          <w:color w:val="auto"/>
        </w:rPr>
      </w:pPr>
    </w:p>
    <w:p w:rsidR="00236F2F" w:rsidRDefault="00236F2F" w:rsidP="00236F2F">
      <w:pPr>
        <w:pStyle w:val="Default"/>
        <w:pageBreakBefore/>
        <w:rPr>
          <w:rFonts w:ascii="細明體" w:eastAsia="細明體" w:cs="細明體" w:hint="eastAsia"/>
          <w:color w:val="auto"/>
          <w:sz w:val="23"/>
          <w:szCs w:val="23"/>
        </w:rPr>
      </w:pPr>
      <w:r>
        <w:rPr>
          <w:rFonts w:ascii="細明體" w:eastAsia="細明體" w:cs="細明體" w:hint="eastAsia"/>
          <w:color w:val="auto"/>
          <w:sz w:val="23"/>
          <w:szCs w:val="23"/>
        </w:rPr>
        <w:lastRenderedPageBreak/>
        <w:t xml:space="preserve">第14條：本次送審代表著作與前次送審代表著作內容近似者，送審時，應檢附前次送審代表著作及本次著作異同對照。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第15條：持第十一條第一項第二款所定國內外學術或專業刊物接受將定期發表之證明送審者，其代表著作應自該刊物出具接受證明之日起一年內發表，並自發表之日起二個月內，將該專門著作送交學校查核並存檔；其因不可歸責於送審人之事由，而未能於一年內發表者，應檢附該刊物出具未能發表原因及確定發表時間之證明，向學校教師評審委員會申請展延，並以該刊物出具接受證明之日起三年內為限。經評審通過展延者，應於一年期限屆滿前，報本部備查。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前項著作經審定後不得作為下次送審著作。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未依第一項規定期限發表並送繳發表之代表著作者，學校應駁回其申請，並報本部；其教師資格尚在本部審查者，應駁回其申請；其教師資格已審定合格發給教師證書者，由本部廢止其教師資格，並追繳或註銷該等級之教師證書。 </w:t>
      </w:r>
    </w:p>
    <w:p w:rsidR="00236F2F" w:rsidRPr="00236F2F" w:rsidRDefault="00236F2F" w:rsidP="00236F2F">
      <w:pPr>
        <w:pStyle w:val="Default"/>
        <w:rPr>
          <w:rFonts w:ascii="新細明體" w:eastAsia="新細明體" w:cs="新細明體" w:hint="eastAsia"/>
          <w:b/>
          <w:color w:val="FF0000"/>
          <w:sz w:val="32"/>
          <w:szCs w:val="32"/>
          <w:u w:val="single"/>
        </w:rPr>
      </w:pPr>
      <w:r w:rsidRPr="00236F2F">
        <w:rPr>
          <w:rFonts w:ascii="細明體" w:eastAsia="細明體" w:cs="細明體" w:hint="eastAsia"/>
          <w:b/>
          <w:color w:val="FF0000"/>
          <w:sz w:val="32"/>
          <w:szCs w:val="32"/>
          <w:u w:val="single"/>
        </w:rPr>
        <w:t>※</w:t>
      </w:r>
      <w:r w:rsidRPr="00236F2F">
        <w:rPr>
          <w:rFonts w:ascii="新細明體" w:eastAsia="新細明體" w:cs="新細明體" w:hint="eastAsia"/>
          <w:b/>
          <w:color w:val="FF0000"/>
          <w:sz w:val="32"/>
          <w:szCs w:val="32"/>
          <w:u w:val="single"/>
        </w:rPr>
        <w:t>參考資料</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送審人自取得前一等級教師資格後，至本次申請升等期間，所有個人在專業或學術上之成果，得載明於教師資格審查履歷表，作為送審之參考資料。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專科以上學校教師資格審定辦法(99.11.24修正)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第17條：送審人自取得前一等級教師資格後，至本次申請升等期間，所有個人在專業或學術上之成果，得載明於教師資格審查履歷表，作為送審之參考資料。 </w:t>
      </w:r>
    </w:p>
    <w:p w:rsidR="00236F2F" w:rsidRDefault="00236F2F" w:rsidP="00236F2F">
      <w:pPr>
        <w:pStyle w:val="Default"/>
        <w:rPr>
          <w:rFonts w:ascii="細明體" w:eastAsia="細明體" w:cs="細明體" w:hint="eastAsia"/>
          <w:color w:val="auto"/>
          <w:sz w:val="23"/>
          <w:szCs w:val="23"/>
        </w:rPr>
      </w:pPr>
      <w:r>
        <w:rPr>
          <w:rFonts w:ascii="細明體" w:eastAsia="細明體" w:cs="細明體" w:hint="eastAsia"/>
          <w:color w:val="auto"/>
          <w:sz w:val="23"/>
          <w:szCs w:val="23"/>
        </w:rPr>
        <w:t xml:space="preserve">補充規定專科以上學校教師資格送審作業須知第二點相關規定，未符合代表著作及參考著作規定，送審人自取得前一等級教師資格後，至本次申請升等期間之個人在專業或學術上之成果，均得自行列表作為送審參考資料。 </w:t>
      </w:r>
    </w:p>
    <w:p w:rsidR="00236F2F" w:rsidRDefault="00236F2F" w:rsidP="00236F2F">
      <w:pPr>
        <w:pStyle w:val="Default"/>
        <w:rPr>
          <w:rFonts w:eastAsia="新細明體"/>
          <w:color w:val="auto"/>
          <w:sz w:val="32"/>
          <w:szCs w:val="32"/>
        </w:rPr>
      </w:pPr>
      <w:r>
        <w:rPr>
          <w:rFonts w:eastAsia="細明體"/>
          <w:color w:val="auto"/>
          <w:sz w:val="32"/>
          <w:szCs w:val="32"/>
        </w:rPr>
        <w:t></w:t>
      </w:r>
      <w:r>
        <w:rPr>
          <w:rFonts w:ascii="新細明體" w:eastAsia="新細明體" w:cs="新細明體" w:hint="eastAsia"/>
          <w:color w:val="auto"/>
          <w:sz w:val="32"/>
          <w:szCs w:val="32"/>
        </w:rPr>
        <w:t>教育部相關釋例摘錄</w:t>
      </w:r>
      <w:r>
        <w:rPr>
          <w:rFonts w:eastAsia="新細明體"/>
          <w:color w:val="auto"/>
          <w:sz w:val="32"/>
          <w:szCs w:val="32"/>
        </w:rPr>
        <w:t></w:t>
      </w:r>
    </w:p>
    <w:p w:rsidR="00236F2F" w:rsidRDefault="00236F2F" w:rsidP="00236F2F">
      <w:pPr>
        <w:pStyle w:val="Default"/>
        <w:rPr>
          <w:rFonts w:ascii="新細明體" w:eastAsia="新細明體" w:cs="新細明體" w:hint="eastAsia"/>
          <w:color w:val="auto"/>
          <w:sz w:val="32"/>
          <w:szCs w:val="32"/>
        </w:rPr>
      </w:pPr>
      <w:r>
        <w:rPr>
          <w:rFonts w:ascii="新細明體" w:eastAsia="新細明體" w:cs="新細明體" w:hint="eastAsia"/>
          <w:color w:val="auto"/>
          <w:sz w:val="32"/>
          <w:szCs w:val="32"/>
        </w:rPr>
        <w:t>※年資</w:t>
      </w:r>
    </w:p>
    <w:p w:rsidR="00236F2F" w:rsidRDefault="00236F2F" w:rsidP="00236F2F">
      <w:pPr>
        <w:pStyle w:val="Default"/>
        <w:rPr>
          <w:rFonts w:ascii="新細明體" w:eastAsia="新細明體" w:hAnsi="Calibri" w:cs="新細明體"/>
          <w:color w:val="auto"/>
          <w:sz w:val="23"/>
          <w:szCs w:val="23"/>
        </w:rPr>
      </w:pPr>
      <w:r>
        <w:rPr>
          <w:rFonts w:ascii="Calibri" w:eastAsia="新細明體" w:hAnsi="Calibri" w:cs="Calibri"/>
          <w:b/>
          <w:bCs/>
          <w:color w:val="auto"/>
          <w:sz w:val="23"/>
          <w:szCs w:val="23"/>
        </w:rPr>
        <w:t>Q1</w:t>
      </w:r>
      <w:r>
        <w:rPr>
          <w:rFonts w:ascii="新細明體" w:eastAsia="新細明體" w:hAnsi="Calibri" w:cs="新細明體" w:hint="eastAsia"/>
          <w:color w:val="auto"/>
          <w:sz w:val="23"/>
          <w:szCs w:val="23"/>
        </w:rPr>
        <w:t>：曾出國研究一學期，其研究年資得否計列？</w:t>
      </w:r>
    </w:p>
    <w:p w:rsidR="00236F2F" w:rsidRDefault="00236F2F" w:rsidP="00236F2F">
      <w:pPr>
        <w:pStyle w:val="Default"/>
        <w:rPr>
          <w:rFonts w:ascii="新細明體" w:eastAsia="新細明體" w:hAnsi="Calibri" w:cs="新細明體"/>
          <w:color w:val="auto"/>
          <w:sz w:val="23"/>
          <w:szCs w:val="23"/>
        </w:rPr>
      </w:pPr>
      <w:r>
        <w:rPr>
          <w:rFonts w:ascii="Calibri" w:eastAsia="新細明體" w:hAnsi="Calibri" w:cs="Calibri"/>
          <w:color w:val="auto"/>
          <w:sz w:val="23"/>
          <w:szCs w:val="23"/>
        </w:rPr>
        <w:t>A</w:t>
      </w:r>
      <w:r>
        <w:rPr>
          <w:rFonts w:ascii="新細明體" w:eastAsia="新細明體" w:hAnsi="Calibri" w:cs="新細明體" w:hint="eastAsia"/>
          <w:color w:val="auto"/>
          <w:sz w:val="23"/>
          <w:szCs w:val="23"/>
        </w:rPr>
        <w:t>：依「本校教師聘任及升等審查辦法」第七條規定，凡在國內、外進修連續二個學期以上者，其進修年資不予列計。如出國研究一學期未有連續達二學期，該一學期年資尚得計列。</w:t>
      </w:r>
    </w:p>
    <w:p w:rsidR="00236F2F" w:rsidRDefault="00236F2F" w:rsidP="00236F2F">
      <w:pPr>
        <w:pStyle w:val="Default"/>
        <w:rPr>
          <w:rFonts w:ascii="Calibri" w:eastAsia="新細明體" w:hAnsi="Calibri" w:cs="Calibri"/>
          <w:color w:val="auto"/>
          <w:sz w:val="23"/>
          <w:szCs w:val="23"/>
        </w:rPr>
      </w:pPr>
      <w:r>
        <w:rPr>
          <w:rFonts w:ascii="Calibri" w:eastAsia="新細明體" w:hAnsi="Calibri" w:cs="Calibri"/>
          <w:b/>
          <w:bCs/>
          <w:color w:val="auto"/>
          <w:sz w:val="23"/>
          <w:szCs w:val="23"/>
        </w:rPr>
        <w:t>Q2</w:t>
      </w:r>
      <w:r>
        <w:rPr>
          <w:rFonts w:ascii="新細明體" w:eastAsia="新細明體" w:hAnsi="Calibri" w:cs="新細明體" w:hint="eastAsia"/>
          <w:color w:val="auto"/>
          <w:sz w:val="23"/>
          <w:szCs w:val="23"/>
        </w:rPr>
        <w:t>：「教師年資」之採計是否適用任教國外學校之年資？</w:t>
      </w:r>
      <w:r>
        <w:rPr>
          <w:rFonts w:ascii="Calibri" w:eastAsia="新細明體" w:hAnsi="Calibri" w:cs="Calibri"/>
          <w:b/>
          <w:bCs/>
          <w:color w:val="auto"/>
          <w:sz w:val="23"/>
          <w:szCs w:val="23"/>
        </w:rPr>
        <w:t>(</w:t>
      </w:r>
      <w:r>
        <w:rPr>
          <w:rFonts w:ascii="新細明體" w:eastAsia="新細明體" w:hAnsi="Calibri" w:cs="新細明體" w:hint="eastAsia"/>
          <w:color w:val="auto"/>
          <w:sz w:val="23"/>
          <w:szCs w:val="23"/>
        </w:rPr>
        <w:t>教育部</w:t>
      </w:r>
      <w:r>
        <w:rPr>
          <w:rFonts w:ascii="Calibri" w:eastAsia="新細明體" w:hAnsi="Calibri" w:cs="Calibri"/>
          <w:b/>
          <w:bCs/>
          <w:color w:val="auto"/>
          <w:sz w:val="23"/>
          <w:szCs w:val="23"/>
        </w:rPr>
        <w:t>91.10.24</w:t>
      </w:r>
      <w:r>
        <w:rPr>
          <w:rFonts w:ascii="新細明體" w:eastAsia="新細明體" w:hAnsi="Calibri" w:cs="新細明體" w:hint="eastAsia"/>
          <w:color w:val="auto"/>
          <w:sz w:val="23"/>
          <w:szCs w:val="23"/>
        </w:rPr>
        <w:t>台</w:t>
      </w:r>
      <w:r>
        <w:rPr>
          <w:rFonts w:ascii="Calibri" w:eastAsia="新細明體" w:hAnsi="Calibri" w:cs="Calibri"/>
          <w:b/>
          <w:bCs/>
          <w:color w:val="auto"/>
          <w:sz w:val="23"/>
          <w:szCs w:val="23"/>
        </w:rPr>
        <w:t>(91)</w:t>
      </w:r>
      <w:r>
        <w:rPr>
          <w:rFonts w:ascii="新細明體" w:eastAsia="新細明體" w:hAnsi="Calibri" w:cs="新細明體" w:hint="eastAsia"/>
          <w:color w:val="auto"/>
          <w:sz w:val="23"/>
          <w:szCs w:val="23"/>
        </w:rPr>
        <w:t>審字第</w:t>
      </w:r>
      <w:r>
        <w:rPr>
          <w:rFonts w:ascii="Calibri" w:eastAsia="新細明體" w:hAnsi="Calibri" w:cs="Calibri"/>
          <w:b/>
          <w:bCs/>
          <w:color w:val="auto"/>
          <w:sz w:val="23"/>
          <w:szCs w:val="23"/>
        </w:rPr>
        <w:t>91157607</w:t>
      </w:r>
      <w:r>
        <w:rPr>
          <w:rFonts w:ascii="新細明體" w:eastAsia="新細明體" w:hAnsi="Calibri" w:cs="新細明體" w:hint="eastAsia"/>
          <w:color w:val="auto"/>
          <w:sz w:val="23"/>
          <w:szCs w:val="23"/>
        </w:rPr>
        <w:t>號</w:t>
      </w:r>
      <w:r>
        <w:rPr>
          <w:rFonts w:ascii="Calibri" w:eastAsia="新細明體" w:hAnsi="Calibri" w:cs="Calibri"/>
          <w:b/>
          <w:bCs/>
          <w:color w:val="auto"/>
          <w:sz w:val="23"/>
          <w:szCs w:val="23"/>
        </w:rPr>
        <w:t>)</w:t>
      </w:r>
    </w:p>
    <w:p w:rsidR="00236F2F" w:rsidRDefault="00236F2F" w:rsidP="00236F2F">
      <w:pPr>
        <w:pStyle w:val="Default"/>
        <w:rPr>
          <w:rFonts w:ascii="新細明體" w:eastAsia="新細明體" w:hAnsi="Calibri" w:cs="新細明體"/>
          <w:color w:val="auto"/>
          <w:sz w:val="23"/>
          <w:szCs w:val="23"/>
        </w:rPr>
      </w:pPr>
      <w:r>
        <w:rPr>
          <w:rFonts w:ascii="Calibri" w:eastAsia="新細明體" w:hAnsi="Calibri" w:cs="Calibri"/>
          <w:color w:val="auto"/>
          <w:sz w:val="23"/>
          <w:szCs w:val="23"/>
        </w:rPr>
        <w:t>A</w:t>
      </w:r>
      <w:r>
        <w:rPr>
          <w:rFonts w:ascii="新細明體" w:eastAsia="新細明體" w:hAnsi="Calibri" w:cs="新細明體" w:hint="eastAsia"/>
          <w:color w:val="auto"/>
          <w:sz w:val="23"/>
          <w:szCs w:val="23"/>
        </w:rPr>
        <w:t>：國外學校服務年資之採計，應以本部編印參考名冊所列之國外大學為限，惟仍須就其著作進行實質審查。其餘本部本編列參考名冊之地區者，就個案提常會審查認定。</w:t>
      </w:r>
    </w:p>
    <w:p w:rsidR="00236F2F" w:rsidRDefault="00236F2F" w:rsidP="00236F2F">
      <w:pPr>
        <w:pStyle w:val="Default"/>
        <w:rPr>
          <w:rFonts w:ascii="Calibri" w:eastAsia="新細明體" w:hAnsi="Calibri" w:cs="Calibri"/>
          <w:color w:val="auto"/>
          <w:sz w:val="20"/>
          <w:szCs w:val="20"/>
        </w:rPr>
      </w:pPr>
      <w:r>
        <w:rPr>
          <w:rFonts w:ascii="Calibri" w:eastAsia="新細明體" w:hAnsi="Calibri" w:cs="Calibri"/>
          <w:b/>
          <w:bCs/>
          <w:color w:val="auto"/>
          <w:sz w:val="23"/>
          <w:szCs w:val="23"/>
        </w:rPr>
        <w:t>Q3</w:t>
      </w:r>
      <w:r>
        <w:rPr>
          <w:rFonts w:ascii="新細明體" w:eastAsia="新細明體" w:hAnsi="Calibri" w:cs="新細明體" w:hint="eastAsia"/>
          <w:color w:val="auto"/>
          <w:sz w:val="23"/>
          <w:szCs w:val="23"/>
        </w:rPr>
        <w:t>：有關送審教師資格其國外大學任教師年資如經採計，其在國外任教期間所為專門著作之採計方式？</w:t>
      </w:r>
      <w:r>
        <w:rPr>
          <w:rFonts w:ascii="Calibri" w:eastAsia="新細明體" w:hAnsi="Calibri" w:cs="Calibri"/>
          <w:b/>
          <w:bCs/>
          <w:color w:val="auto"/>
          <w:sz w:val="23"/>
          <w:szCs w:val="23"/>
        </w:rPr>
        <w:t>(</w:t>
      </w:r>
      <w:r>
        <w:rPr>
          <w:rFonts w:ascii="新細明體" w:eastAsia="新細明體" w:hAnsi="Calibri" w:cs="新細明體" w:hint="eastAsia"/>
          <w:color w:val="auto"/>
          <w:sz w:val="23"/>
          <w:szCs w:val="23"/>
        </w:rPr>
        <w:t>教育部</w:t>
      </w:r>
      <w:r>
        <w:rPr>
          <w:rFonts w:ascii="Calibri" w:eastAsia="新細明體" w:hAnsi="Calibri" w:cs="Calibri"/>
          <w:b/>
          <w:bCs/>
          <w:color w:val="auto"/>
          <w:sz w:val="23"/>
          <w:szCs w:val="23"/>
        </w:rPr>
        <w:t>102.5.13</w:t>
      </w:r>
      <w:r>
        <w:rPr>
          <w:rFonts w:ascii="新細明體" w:eastAsia="新細明體" w:hAnsi="Calibri" w:cs="新細明體" w:hint="eastAsia"/>
          <w:color w:val="auto"/>
          <w:sz w:val="23"/>
          <w:szCs w:val="23"/>
        </w:rPr>
        <w:t>臺教高</w:t>
      </w:r>
      <w:r>
        <w:rPr>
          <w:rFonts w:ascii="Calibri" w:eastAsia="新細明體" w:hAnsi="Calibri" w:cs="Calibri"/>
          <w:b/>
          <w:bCs/>
          <w:color w:val="auto"/>
          <w:sz w:val="23"/>
          <w:szCs w:val="23"/>
        </w:rPr>
        <w:t>(</w:t>
      </w:r>
      <w:r>
        <w:rPr>
          <w:rFonts w:ascii="新細明體" w:eastAsia="新細明體" w:hAnsi="Calibri" w:cs="新細明體" w:hint="eastAsia"/>
          <w:color w:val="auto"/>
          <w:sz w:val="23"/>
          <w:szCs w:val="23"/>
        </w:rPr>
        <w:t>五</w:t>
      </w:r>
      <w:r>
        <w:rPr>
          <w:rFonts w:ascii="Calibri" w:eastAsia="新細明體" w:hAnsi="Calibri" w:cs="Calibri"/>
          <w:b/>
          <w:bCs/>
          <w:color w:val="auto"/>
          <w:sz w:val="23"/>
          <w:szCs w:val="23"/>
        </w:rPr>
        <w:t>)</w:t>
      </w:r>
      <w:r>
        <w:rPr>
          <w:rFonts w:ascii="新細明體" w:eastAsia="新細明體" w:hAnsi="Calibri" w:cs="新細明體" w:hint="eastAsia"/>
          <w:color w:val="auto"/>
          <w:sz w:val="23"/>
          <w:szCs w:val="23"/>
        </w:rPr>
        <w:t>字第</w:t>
      </w:r>
      <w:r>
        <w:rPr>
          <w:rFonts w:ascii="Calibri" w:eastAsia="新細明體" w:hAnsi="Calibri" w:cs="Calibri"/>
          <w:b/>
          <w:bCs/>
          <w:color w:val="auto"/>
          <w:sz w:val="23"/>
          <w:szCs w:val="23"/>
        </w:rPr>
        <w:t>1020066733</w:t>
      </w:r>
      <w:r>
        <w:rPr>
          <w:rFonts w:ascii="新細明體" w:eastAsia="新細明體" w:hAnsi="Calibri" w:cs="新細明體" w:hint="eastAsia"/>
          <w:color w:val="auto"/>
          <w:sz w:val="23"/>
          <w:szCs w:val="23"/>
        </w:rPr>
        <w:t>號</w:t>
      </w:r>
      <w:r>
        <w:rPr>
          <w:rFonts w:ascii="Calibri" w:eastAsia="新細明體" w:hAnsi="Calibri" w:cs="Calibri"/>
          <w:b/>
          <w:bCs/>
          <w:color w:val="auto"/>
          <w:sz w:val="23"/>
          <w:szCs w:val="23"/>
        </w:rPr>
        <w:t>)</w:t>
      </w:r>
      <w:r>
        <w:rPr>
          <w:rFonts w:ascii="Calibri" w:eastAsia="新細明體" w:hAnsi="Calibri" w:cs="Calibri"/>
          <w:color w:val="auto"/>
          <w:sz w:val="20"/>
          <w:szCs w:val="20"/>
        </w:rPr>
        <w:t xml:space="preserve">5 </w:t>
      </w:r>
    </w:p>
    <w:p w:rsidR="00236F2F" w:rsidRDefault="00236F2F" w:rsidP="00236F2F">
      <w:pPr>
        <w:pStyle w:val="Default"/>
        <w:rPr>
          <w:rFonts w:cstheme="minorBidi"/>
          <w:color w:val="auto"/>
        </w:rPr>
      </w:pPr>
    </w:p>
    <w:p w:rsidR="00236F2F" w:rsidRDefault="00236F2F" w:rsidP="00236F2F">
      <w:pPr>
        <w:pStyle w:val="Default"/>
        <w:pageBreakBefore/>
        <w:rPr>
          <w:rFonts w:ascii="新細明體" w:eastAsia="新細明體" w:hAnsi="Calibri" w:cs="新細明體"/>
          <w:color w:val="auto"/>
          <w:sz w:val="23"/>
          <w:szCs w:val="23"/>
        </w:rPr>
      </w:pPr>
      <w:r>
        <w:rPr>
          <w:rFonts w:ascii="Calibri" w:hAnsi="Calibri" w:cs="Calibri"/>
          <w:color w:val="auto"/>
          <w:sz w:val="23"/>
          <w:szCs w:val="23"/>
        </w:rPr>
        <w:lastRenderedPageBreak/>
        <w:t>A</w:t>
      </w:r>
      <w:r>
        <w:rPr>
          <w:rFonts w:ascii="新細明體" w:eastAsia="新細明體" w:hAnsi="Calibri" w:cs="新細明體" w:hint="eastAsia"/>
          <w:color w:val="auto"/>
          <w:sz w:val="23"/>
          <w:szCs w:val="23"/>
        </w:rPr>
        <w:t>：</w:t>
      </w:r>
    </w:p>
    <w:p w:rsidR="00236F2F" w:rsidRDefault="00236F2F" w:rsidP="00236F2F">
      <w:pPr>
        <w:pStyle w:val="Default"/>
        <w:rPr>
          <w:rFonts w:ascii="新細明體" w:eastAsia="新細明體" w:hAnsi="Calibri" w:cs="新細明體"/>
          <w:color w:val="auto"/>
          <w:sz w:val="23"/>
          <w:szCs w:val="23"/>
        </w:rPr>
      </w:pPr>
      <w:r>
        <w:rPr>
          <w:rFonts w:ascii="新細明體" w:eastAsia="新細明體" w:hAnsi="Calibri" w:cs="新細明體" w:hint="eastAsia"/>
          <w:color w:val="auto"/>
          <w:sz w:val="23"/>
          <w:szCs w:val="23"/>
        </w:rPr>
        <w:t>例如有</w:t>
      </w:r>
      <w:r>
        <w:rPr>
          <w:rFonts w:ascii="Calibri" w:eastAsia="新細明體" w:hAnsi="Calibri" w:cs="Calibri"/>
          <w:color w:val="auto"/>
          <w:sz w:val="23"/>
          <w:szCs w:val="23"/>
        </w:rPr>
        <w:t>1</w:t>
      </w:r>
      <w:r>
        <w:rPr>
          <w:rFonts w:ascii="新細明體" w:eastAsia="新細明體" w:hAnsi="Calibri" w:cs="新細明體" w:hint="eastAsia"/>
          <w:color w:val="auto"/>
          <w:sz w:val="23"/>
          <w:szCs w:val="23"/>
        </w:rPr>
        <w:t>名</w:t>
      </w:r>
      <w:r>
        <w:rPr>
          <w:rFonts w:ascii="Calibri" w:eastAsia="新細明體" w:hAnsi="Calibri" w:cs="Calibri"/>
          <w:color w:val="auto"/>
          <w:sz w:val="23"/>
          <w:szCs w:val="23"/>
        </w:rPr>
        <w:t>98</w:t>
      </w:r>
      <w:r>
        <w:rPr>
          <w:rFonts w:ascii="新細明體" w:eastAsia="新細明體" w:hAnsi="Calibri" w:cs="新細明體" w:hint="eastAsia"/>
          <w:color w:val="auto"/>
          <w:sz w:val="23"/>
          <w:szCs w:val="23"/>
        </w:rPr>
        <w:t>年</w:t>
      </w:r>
      <w:r>
        <w:rPr>
          <w:rFonts w:ascii="Calibri" w:eastAsia="新細明體" w:hAnsi="Calibri" w:cs="Calibri"/>
          <w:color w:val="auto"/>
          <w:sz w:val="23"/>
          <w:szCs w:val="23"/>
        </w:rPr>
        <w:t>2</w:t>
      </w:r>
      <w:r>
        <w:rPr>
          <w:rFonts w:ascii="新細明體" w:eastAsia="新細明體" w:hAnsi="Calibri" w:cs="新細明體" w:hint="eastAsia"/>
          <w:color w:val="auto"/>
          <w:sz w:val="23"/>
          <w:szCs w:val="23"/>
        </w:rPr>
        <w:t>月任教國外參考名冊之國外大學專任助理教授回國，</w:t>
      </w:r>
      <w:r>
        <w:rPr>
          <w:rFonts w:ascii="Calibri" w:eastAsia="新細明體" w:hAnsi="Calibri" w:cs="Calibri"/>
          <w:color w:val="auto"/>
          <w:sz w:val="23"/>
          <w:szCs w:val="23"/>
        </w:rPr>
        <w:t>101</w:t>
      </w:r>
      <w:r>
        <w:rPr>
          <w:rFonts w:ascii="新細明體" w:eastAsia="新細明體" w:hAnsi="Calibri" w:cs="新細明體" w:hint="eastAsia"/>
          <w:color w:val="auto"/>
          <w:sz w:val="23"/>
          <w:szCs w:val="23"/>
        </w:rPr>
        <w:t>年</w:t>
      </w:r>
      <w:r>
        <w:rPr>
          <w:rFonts w:ascii="Calibri" w:eastAsia="新細明體" w:hAnsi="Calibri" w:cs="Calibri"/>
          <w:color w:val="auto"/>
          <w:sz w:val="23"/>
          <w:szCs w:val="23"/>
        </w:rPr>
        <w:t>2</w:t>
      </w:r>
      <w:r>
        <w:rPr>
          <w:rFonts w:ascii="新細明體" w:eastAsia="新細明體" w:hAnsi="Calibri" w:cs="新細明體" w:hint="eastAsia"/>
          <w:color w:val="auto"/>
          <w:sz w:val="23"/>
          <w:szCs w:val="23"/>
        </w:rPr>
        <w:t>月取得教育部助理教授證書後，</w:t>
      </w:r>
      <w:r>
        <w:rPr>
          <w:rFonts w:ascii="Calibri" w:eastAsia="新細明體" w:hAnsi="Calibri" w:cs="Calibri"/>
          <w:color w:val="auto"/>
          <w:sz w:val="23"/>
          <w:szCs w:val="23"/>
        </w:rPr>
        <w:t>102</w:t>
      </w:r>
      <w:r>
        <w:rPr>
          <w:rFonts w:ascii="新細明體" w:eastAsia="新細明體" w:hAnsi="Calibri" w:cs="新細明體" w:hint="eastAsia"/>
          <w:color w:val="auto"/>
          <w:sz w:val="23"/>
          <w:szCs w:val="23"/>
        </w:rPr>
        <w:t>年</w:t>
      </w:r>
      <w:r>
        <w:rPr>
          <w:rFonts w:ascii="Calibri" w:eastAsia="新細明體" w:hAnsi="Calibri" w:cs="Calibri"/>
          <w:color w:val="auto"/>
          <w:sz w:val="23"/>
          <w:szCs w:val="23"/>
        </w:rPr>
        <w:t>2</w:t>
      </w:r>
      <w:r>
        <w:rPr>
          <w:rFonts w:ascii="新細明體" w:eastAsia="新細明體" w:hAnsi="Calibri" w:cs="新細明體" w:hint="eastAsia"/>
          <w:color w:val="auto"/>
          <w:sz w:val="23"/>
          <w:szCs w:val="23"/>
        </w:rPr>
        <w:t>月再提升等副教授，其</w:t>
      </w:r>
      <w:r>
        <w:rPr>
          <w:rFonts w:ascii="Calibri" w:eastAsia="新細明體" w:hAnsi="Calibri" w:cs="Calibri"/>
          <w:color w:val="auto"/>
          <w:sz w:val="23"/>
          <w:szCs w:val="23"/>
        </w:rPr>
        <w:t>3</w:t>
      </w:r>
      <w:r>
        <w:rPr>
          <w:rFonts w:ascii="新細明體" w:eastAsia="新細明體" w:hAnsi="Calibri" w:cs="新細明體" w:hint="eastAsia"/>
          <w:color w:val="auto"/>
          <w:sz w:val="23"/>
          <w:szCs w:val="23"/>
        </w:rPr>
        <w:t>年以上助理教授年資得依審定辦法第</w:t>
      </w:r>
      <w:r>
        <w:rPr>
          <w:rFonts w:ascii="Calibri" w:eastAsia="新細明體" w:hAnsi="Calibri" w:cs="Calibri"/>
          <w:color w:val="auto"/>
          <w:sz w:val="23"/>
          <w:szCs w:val="23"/>
        </w:rPr>
        <w:t>10</w:t>
      </w:r>
      <w:r>
        <w:rPr>
          <w:rFonts w:ascii="新細明體" w:eastAsia="新細明體" w:hAnsi="Calibri" w:cs="新細明體" w:hint="eastAsia"/>
          <w:color w:val="auto"/>
          <w:sz w:val="23"/>
          <w:szCs w:val="23"/>
        </w:rPr>
        <w:t>條第</w:t>
      </w:r>
      <w:r>
        <w:rPr>
          <w:rFonts w:ascii="Calibri" w:eastAsia="新細明體" w:hAnsi="Calibri" w:cs="Calibri"/>
          <w:color w:val="auto"/>
          <w:sz w:val="23"/>
          <w:szCs w:val="23"/>
        </w:rPr>
        <w:t>4</w:t>
      </w:r>
      <w:r>
        <w:rPr>
          <w:rFonts w:ascii="新細明體" w:eastAsia="新細明體" w:hAnsi="Calibri" w:cs="新細明體" w:hint="eastAsia"/>
          <w:color w:val="auto"/>
          <w:sz w:val="23"/>
          <w:szCs w:val="23"/>
        </w:rPr>
        <w:t>款規定，採計國外助理教授年資</w:t>
      </w:r>
      <w:r>
        <w:rPr>
          <w:rFonts w:ascii="Calibri" w:eastAsia="新細明體" w:hAnsi="Calibri" w:cs="Calibri"/>
          <w:color w:val="auto"/>
          <w:sz w:val="23"/>
          <w:szCs w:val="23"/>
        </w:rPr>
        <w:t>98</w:t>
      </w:r>
      <w:r>
        <w:rPr>
          <w:rFonts w:ascii="新細明體" w:eastAsia="新細明體" w:hAnsi="Calibri" w:cs="新細明體" w:hint="eastAsia"/>
          <w:color w:val="auto"/>
          <w:sz w:val="23"/>
          <w:szCs w:val="23"/>
        </w:rPr>
        <w:t>年</w:t>
      </w:r>
      <w:r>
        <w:rPr>
          <w:rFonts w:ascii="Calibri" w:eastAsia="新細明體" w:hAnsi="Calibri" w:cs="Calibri"/>
          <w:color w:val="auto"/>
          <w:sz w:val="23"/>
          <w:szCs w:val="23"/>
        </w:rPr>
        <w:t>2</w:t>
      </w:r>
      <w:r>
        <w:rPr>
          <w:rFonts w:ascii="新細明體" w:eastAsia="新細明體" w:hAnsi="Calibri" w:cs="新細明體" w:hint="eastAsia"/>
          <w:color w:val="auto"/>
          <w:sz w:val="23"/>
          <w:szCs w:val="23"/>
        </w:rPr>
        <w:t>月至</w:t>
      </w:r>
      <w:r>
        <w:rPr>
          <w:rFonts w:ascii="Calibri" w:eastAsia="新細明體" w:hAnsi="Calibri" w:cs="Calibri"/>
          <w:color w:val="auto"/>
          <w:sz w:val="23"/>
          <w:szCs w:val="23"/>
        </w:rPr>
        <w:t>102</w:t>
      </w:r>
      <w:r>
        <w:rPr>
          <w:rFonts w:ascii="新細明體" w:eastAsia="新細明體" w:hAnsi="Calibri" w:cs="新細明體" w:hint="eastAsia"/>
          <w:color w:val="auto"/>
          <w:sz w:val="23"/>
          <w:szCs w:val="23"/>
        </w:rPr>
        <w:t>年</w:t>
      </w:r>
      <w:r>
        <w:rPr>
          <w:rFonts w:ascii="Calibri" w:eastAsia="新細明體" w:hAnsi="Calibri" w:cs="Calibri"/>
          <w:color w:val="auto"/>
          <w:sz w:val="23"/>
          <w:szCs w:val="23"/>
        </w:rPr>
        <w:t>2</w:t>
      </w:r>
      <w:r>
        <w:rPr>
          <w:rFonts w:ascii="新細明體" w:eastAsia="新細明體" w:hAnsi="Calibri" w:cs="新細明體" w:hint="eastAsia"/>
          <w:color w:val="auto"/>
          <w:sz w:val="23"/>
          <w:szCs w:val="23"/>
        </w:rPr>
        <w:t>月之年資。</w:t>
      </w:r>
    </w:p>
    <w:p w:rsidR="00236F2F" w:rsidRDefault="00236F2F" w:rsidP="00236F2F">
      <w:pPr>
        <w:pStyle w:val="Default"/>
        <w:rPr>
          <w:rFonts w:ascii="新細明體" w:eastAsia="新細明體" w:hAnsi="Calibri" w:cs="新細明體"/>
          <w:color w:val="auto"/>
          <w:sz w:val="23"/>
          <w:szCs w:val="23"/>
        </w:rPr>
      </w:pPr>
      <w:r>
        <w:rPr>
          <w:rFonts w:ascii="新細明體" w:eastAsia="新細明體" w:hAnsi="Calibri" w:cs="新細明體" w:hint="eastAsia"/>
          <w:color w:val="auto"/>
          <w:sz w:val="23"/>
          <w:szCs w:val="23"/>
        </w:rPr>
        <w:t>另依審定辦法第</w:t>
      </w:r>
      <w:r>
        <w:rPr>
          <w:rFonts w:ascii="Calibri" w:eastAsia="新細明體" w:hAnsi="Calibri" w:cs="Calibri"/>
          <w:color w:val="auto"/>
          <w:sz w:val="23"/>
          <w:szCs w:val="23"/>
        </w:rPr>
        <w:t>11</w:t>
      </w:r>
      <w:r>
        <w:rPr>
          <w:rFonts w:ascii="新細明體" w:eastAsia="新細明體" w:hAnsi="Calibri" w:cs="新細明體" w:hint="eastAsia"/>
          <w:color w:val="auto"/>
          <w:sz w:val="23"/>
          <w:szCs w:val="23"/>
        </w:rPr>
        <w:t>條第</w:t>
      </w:r>
      <w:r>
        <w:rPr>
          <w:rFonts w:ascii="Calibri" w:eastAsia="新細明體" w:hAnsi="Calibri" w:cs="Calibri"/>
          <w:color w:val="auto"/>
          <w:sz w:val="23"/>
          <w:szCs w:val="23"/>
        </w:rPr>
        <w:t>5</w:t>
      </w:r>
      <w:r>
        <w:rPr>
          <w:rFonts w:ascii="新細明體" w:eastAsia="新細明體" w:hAnsi="Calibri" w:cs="新細明體" w:hint="eastAsia"/>
          <w:color w:val="auto"/>
          <w:sz w:val="23"/>
          <w:szCs w:val="23"/>
        </w:rPr>
        <w:t>款規定，專門著作為前一等級後出版公開發行，前一等級得包括國外專任教職</w:t>
      </w:r>
      <w:r>
        <w:rPr>
          <w:rFonts w:ascii="Calibri" w:eastAsia="新細明體" w:hAnsi="Calibri" w:cs="Calibri"/>
          <w:color w:val="auto"/>
          <w:sz w:val="23"/>
          <w:szCs w:val="23"/>
        </w:rPr>
        <w:t>(</w:t>
      </w:r>
      <w:r>
        <w:rPr>
          <w:rFonts w:ascii="新細明體" w:eastAsia="新細明體" w:hAnsi="Calibri" w:cs="新細明體" w:hint="eastAsia"/>
          <w:color w:val="auto"/>
          <w:sz w:val="23"/>
          <w:szCs w:val="23"/>
        </w:rPr>
        <w:t>助理教授</w:t>
      </w:r>
      <w:r>
        <w:rPr>
          <w:rFonts w:ascii="Calibri" w:eastAsia="新細明體" w:hAnsi="Calibri" w:cs="Calibri"/>
          <w:color w:val="auto"/>
          <w:sz w:val="23"/>
          <w:szCs w:val="23"/>
        </w:rPr>
        <w:t>)</w:t>
      </w:r>
      <w:r>
        <w:rPr>
          <w:rFonts w:ascii="新細明體" w:eastAsia="新細明體" w:hAnsi="Calibri" w:cs="新細明體" w:hint="eastAsia"/>
          <w:color w:val="auto"/>
          <w:sz w:val="23"/>
          <w:szCs w:val="23"/>
        </w:rPr>
        <w:t>，其專門著作亦併同國外助理教授年資所發表著作得送審副教授之</w:t>
      </w:r>
      <w:r>
        <w:rPr>
          <w:rFonts w:ascii="Calibri" w:eastAsia="新細明體" w:hAnsi="Calibri" w:cs="Calibri"/>
          <w:color w:val="auto"/>
          <w:sz w:val="23"/>
          <w:szCs w:val="23"/>
        </w:rPr>
        <w:t>(98</w:t>
      </w:r>
      <w:r>
        <w:rPr>
          <w:rFonts w:ascii="新細明體" w:eastAsia="新細明體" w:hAnsi="Calibri" w:cs="新細明體" w:hint="eastAsia"/>
          <w:color w:val="auto"/>
          <w:sz w:val="23"/>
          <w:szCs w:val="23"/>
        </w:rPr>
        <w:t>年</w:t>
      </w:r>
      <w:r>
        <w:rPr>
          <w:rFonts w:ascii="Calibri" w:eastAsia="新細明體" w:hAnsi="Calibri" w:cs="Calibri"/>
          <w:color w:val="auto"/>
          <w:sz w:val="23"/>
          <w:szCs w:val="23"/>
        </w:rPr>
        <w:t>2</w:t>
      </w:r>
      <w:r>
        <w:rPr>
          <w:rFonts w:ascii="新細明體" w:eastAsia="新細明體" w:hAnsi="Calibri" w:cs="新細明體" w:hint="eastAsia"/>
          <w:color w:val="auto"/>
          <w:sz w:val="23"/>
          <w:szCs w:val="23"/>
        </w:rPr>
        <w:t>月至</w:t>
      </w:r>
      <w:r>
        <w:rPr>
          <w:rFonts w:ascii="Calibri" w:eastAsia="新細明體" w:hAnsi="Calibri" w:cs="Calibri"/>
          <w:color w:val="auto"/>
          <w:sz w:val="23"/>
          <w:szCs w:val="23"/>
        </w:rPr>
        <w:t>102</w:t>
      </w:r>
      <w:r>
        <w:rPr>
          <w:rFonts w:ascii="新細明體" w:eastAsia="新細明體" w:hAnsi="Calibri" w:cs="新細明體" w:hint="eastAsia"/>
          <w:color w:val="auto"/>
          <w:sz w:val="23"/>
          <w:szCs w:val="23"/>
        </w:rPr>
        <w:t>年</w:t>
      </w:r>
      <w:r>
        <w:rPr>
          <w:rFonts w:ascii="Calibri" w:eastAsia="新細明體" w:hAnsi="Calibri" w:cs="Calibri"/>
          <w:color w:val="auto"/>
          <w:sz w:val="23"/>
          <w:szCs w:val="23"/>
        </w:rPr>
        <w:t>2</w:t>
      </w:r>
      <w:r>
        <w:rPr>
          <w:rFonts w:ascii="新細明體" w:eastAsia="新細明體" w:hAnsi="Calibri" w:cs="新細明體" w:hint="eastAsia"/>
          <w:color w:val="auto"/>
          <w:sz w:val="23"/>
          <w:szCs w:val="23"/>
        </w:rPr>
        <w:t>月</w:t>
      </w:r>
      <w:r>
        <w:rPr>
          <w:rFonts w:ascii="Calibri" w:eastAsia="新細明體" w:hAnsi="Calibri" w:cs="Calibri"/>
          <w:color w:val="auto"/>
          <w:sz w:val="23"/>
          <w:szCs w:val="23"/>
        </w:rPr>
        <w:t>)</w:t>
      </w:r>
      <w:r>
        <w:rPr>
          <w:rFonts w:ascii="新細明體" w:eastAsia="新細明體" w:hAnsi="Calibri" w:cs="新細明體" w:hint="eastAsia"/>
          <w:color w:val="auto"/>
          <w:sz w:val="23"/>
          <w:szCs w:val="23"/>
        </w:rPr>
        <w:t>著作，不受原自取得教育部助理教授</w:t>
      </w:r>
      <w:r>
        <w:rPr>
          <w:rFonts w:ascii="Calibri" w:eastAsia="新細明體" w:hAnsi="Calibri" w:cs="Calibri"/>
          <w:color w:val="auto"/>
          <w:sz w:val="23"/>
          <w:szCs w:val="23"/>
        </w:rPr>
        <w:t>101</w:t>
      </w:r>
      <w:r>
        <w:rPr>
          <w:rFonts w:ascii="新細明體" w:eastAsia="新細明體" w:hAnsi="Calibri" w:cs="新細明體" w:hint="eastAsia"/>
          <w:color w:val="auto"/>
          <w:sz w:val="23"/>
          <w:szCs w:val="23"/>
        </w:rPr>
        <w:t>年</w:t>
      </w:r>
      <w:r>
        <w:rPr>
          <w:rFonts w:ascii="Calibri" w:eastAsia="新細明體" w:hAnsi="Calibri" w:cs="Calibri"/>
          <w:color w:val="auto"/>
          <w:sz w:val="23"/>
          <w:szCs w:val="23"/>
        </w:rPr>
        <w:t>2</w:t>
      </w:r>
      <w:r>
        <w:rPr>
          <w:rFonts w:ascii="新細明體" w:eastAsia="新細明體" w:hAnsi="Calibri" w:cs="新細明體" w:hint="eastAsia"/>
          <w:color w:val="auto"/>
          <w:sz w:val="23"/>
          <w:szCs w:val="23"/>
        </w:rPr>
        <w:t>月後之著作才可以送審副教授之著作之限制，但是在送審教育部助理教授時之代表作仍不得為送審副教授之代表作，其他教師等級升等比照辦理。</w:t>
      </w:r>
    </w:p>
    <w:p w:rsidR="00236F2F" w:rsidRDefault="00236F2F" w:rsidP="00236F2F">
      <w:pPr>
        <w:pStyle w:val="Default"/>
        <w:rPr>
          <w:rFonts w:ascii="新細明體" w:eastAsia="新細明體" w:hAnsi="Calibri" w:cs="新細明體"/>
          <w:color w:val="auto"/>
          <w:sz w:val="23"/>
          <w:szCs w:val="23"/>
        </w:rPr>
      </w:pPr>
      <w:r>
        <w:rPr>
          <w:rFonts w:ascii="新細明體" w:eastAsia="新細明體" w:hAnsi="Calibri" w:cs="新細明體" w:hint="eastAsia"/>
          <w:color w:val="auto"/>
          <w:sz w:val="23"/>
          <w:szCs w:val="23"/>
        </w:rPr>
        <w:t>惟仍受專門著作</w:t>
      </w:r>
      <w:r>
        <w:rPr>
          <w:rFonts w:ascii="Calibri" w:eastAsia="新細明體" w:hAnsi="Calibri" w:cs="Calibri"/>
          <w:color w:val="auto"/>
          <w:sz w:val="23"/>
          <w:szCs w:val="23"/>
        </w:rPr>
        <w:t>5</w:t>
      </w:r>
      <w:r>
        <w:rPr>
          <w:rFonts w:ascii="新細明體" w:eastAsia="新細明體" w:hAnsi="Calibri" w:cs="新細明體" w:hint="eastAsia"/>
          <w:color w:val="auto"/>
          <w:sz w:val="23"/>
          <w:szCs w:val="23"/>
        </w:rPr>
        <w:t>年</w:t>
      </w:r>
      <w:r>
        <w:rPr>
          <w:rFonts w:ascii="Calibri" w:eastAsia="新細明體" w:hAnsi="Calibri" w:cs="Calibri"/>
          <w:color w:val="auto"/>
          <w:sz w:val="23"/>
          <w:szCs w:val="23"/>
        </w:rPr>
        <w:t>(</w:t>
      </w:r>
      <w:r>
        <w:rPr>
          <w:rFonts w:ascii="新細明體" w:eastAsia="新細明體" w:hAnsi="Calibri" w:cs="新細明體" w:hint="eastAsia"/>
          <w:color w:val="auto"/>
          <w:sz w:val="23"/>
          <w:szCs w:val="23"/>
        </w:rPr>
        <w:t>代表作</w:t>
      </w:r>
      <w:r>
        <w:rPr>
          <w:rFonts w:ascii="Calibri" w:eastAsia="新細明體" w:hAnsi="Calibri" w:cs="Calibri"/>
          <w:color w:val="auto"/>
          <w:sz w:val="23"/>
          <w:szCs w:val="23"/>
        </w:rPr>
        <w:t>)</w:t>
      </w:r>
      <w:r>
        <w:rPr>
          <w:rFonts w:ascii="新細明體" w:eastAsia="新細明體" w:hAnsi="Calibri" w:cs="新細明體" w:hint="eastAsia"/>
          <w:color w:val="auto"/>
          <w:sz w:val="23"/>
          <w:szCs w:val="23"/>
        </w:rPr>
        <w:t>及</w:t>
      </w:r>
      <w:r>
        <w:rPr>
          <w:rFonts w:ascii="Calibri" w:eastAsia="新細明體" w:hAnsi="Calibri" w:cs="Calibri"/>
          <w:color w:val="auto"/>
          <w:sz w:val="23"/>
          <w:szCs w:val="23"/>
        </w:rPr>
        <w:t>7</w:t>
      </w:r>
      <w:r>
        <w:rPr>
          <w:rFonts w:ascii="新細明體" w:eastAsia="新細明體" w:hAnsi="Calibri" w:cs="新細明體" w:hint="eastAsia"/>
          <w:color w:val="auto"/>
          <w:sz w:val="23"/>
          <w:szCs w:val="23"/>
        </w:rPr>
        <w:t>年</w:t>
      </w:r>
      <w:r>
        <w:rPr>
          <w:rFonts w:ascii="Calibri" w:eastAsia="新細明體" w:hAnsi="Calibri" w:cs="Calibri"/>
          <w:color w:val="auto"/>
          <w:sz w:val="23"/>
          <w:szCs w:val="23"/>
        </w:rPr>
        <w:t>(</w:t>
      </w:r>
      <w:r>
        <w:rPr>
          <w:rFonts w:ascii="新細明體" w:eastAsia="新細明體" w:hAnsi="Calibri" w:cs="新細明體" w:hint="eastAsia"/>
          <w:color w:val="auto"/>
          <w:sz w:val="23"/>
          <w:szCs w:val="23"/>
        </w:rPr>
        <w:t>參考作</w:t>
      </w:r>
      <w:r>
        <w:rPr>
          <w:rFonts w:ascii="Calibri" w:eastAsia="新細明體" w:hAnsi="Calibri" w:cs="Calibri"/>
          <w:color w:val="auto"/>
          <w:sz w:val="23"/>
          <w:szCs w:val="23"/>
        </w:rPr>
        <w:t>)</w:t>
      </w:r>
      <w:r>
        <w:rPr>
          <w:rFonts w:ascii="新細明體" w:eastAsia="新細明體" w:hAnsi="Calibri" w:cs="新細明體" w:hint="eastAsia"/>
          <w:color w:val="auto"/>
          <w:sz w:val="23"/>
          <w:szCs w:val="23"/>
        </w:rPr>
        <w:t>等規定之限制。</w:t>
      </w:r>
    </w:p>
    <w:p w:rsidR="00236F2F" w:rsidRDefault="00236F2F" w:rsidP="00236F2F">
      <w:pPr>
        <w:pStyle w:val="Default"/>
        <w:rPr>
          <w:rFonts w:ascii="Calibri" w:eastAsia="新細明體" w:hAnsi="Calibri" w:cs="Calibri"/>
          <w:color w:val="auto"/>
          <w:sz w:val="23"/>
          <w:szCs w:val="23"/>
        </w:rPr>
      </w:pPr>
      <w:r>
        <w:rPr>
          <w:rFonts w:ascii="Calibri" w:eastAsia="新細明體" w:hAnsi="Calibri" w:cs="Calibri"/>
          <w:b/>
          <w:bCs/>
          <w:color w:val="auto"/>
          <w:sz w:val="23"/>
          <w:szCs w:val="23"/>
        </w:rPr>
        <w:t>Q4</w:t>
      </w:r>
      <w:r>
        <w:rPr>
          <w:rFonts w:ascii="新細明體" w:eastAsia="新細明體" w:hAnsi="Calibri" w:cs="新細明體" w:hint="eastAsia"/>
          <w:color w:val="auto"/>
          <w:sz w:val="23"/>
          <w:szCs w:val="23"/>
        </w:rPr>
        <w:t>：有關「專科以上學校教師資格審定辦法」中專門著作「送審前五年內」推算基準點？</w:t>
      </w:r>
      <w:r>
        <w:rPr>
          <w:rFonts w:ascii="Calibri" w:eastAsia="新細明體" w:hAnsi="Calibri" w:cs="Calibri"/>
          <w:b/>
          <w:bCs/>
          <w:color w:val="auto"/>
          <w:sz w:val="23"/>
          <w:szCs w:val="23"/>
        </w:rPr>
        <w:t>(</w:t>
      </w:r>
      <w:r>
        <w:rPr>
          <w:rFonts w:ascii="新細明體" w:eastAsia="新細明體" w:hAnsi="Calibri" w:cs="新細明體" w:hint="eastAsia"/>
          <w:color w:val="auto"/>
          <w:sz w:val="23"/>
          <w:szCs w:val="23"/>
        </w:rPr>
        <w:t>教育部</w:t>
      </w:r>
      <w:r>
        <w:rPr>
          <w:rFonts w:ascii="Calibri" w:eastAsia="新細明體" w:hAnsi="Calibri" w:cs="Calibri"/>
          <w:b/>
          <w:bCs/>
          <w:color w:val="auto"/>
          <w:sz w:val="23"/>
          <w:szCs w:val="23"/>
        </w:rPr>
        <w:t>96.7.6</w:t>
      </w:r>
      <w:r>
        <w:rPr>
          <w:rFonts w:ascii="新細明體" w:eastAsia="新細明體" w:hAnsi="Calibri" w:cs="新細明體" w:hint="eastAsia"/>
          <w:color w:val="auto"/>
          <w:sz w:val="23"/>
          <w:szCs w:val="23"/>
        </w:rPr>
        <w:t>台審字救</w:t>
      </w:r>
      <w:r>
        <w:rPr>
          <w:rFonts w:ascii="Calibri" w:eastAsia="新細明體" w:hAnsi="Calibri" w:cs="Calibri"/>
          <w:b/>
          <w:bCs/>
          <w:color w:val="auto"/>
          <w:sz w:val="23"/>
          <w:szCs w:val="23"/>
        </w:rPr>
        <w:t>0960102140</w:t>
      </w:r>
      <w:r>
        <w:rPr>
          <w:rFonts w:ascii="新細明體" w:eastAsia="新細明體" w:hAnsi="Calibri" w:cs="新細明體" w:hint="eastAsia"/>
          <w:color w:val="auto"/>
          <w:sz w:val="23"/>
          <w:szCs w:val="23"/>
        </w:rPr>
        <w:t>號</w:t>
      </w:r>
      <w:r>
        <w:rPr>
          <w:rFonts w:ascii="Calibri" w:eastAsia="新細明體" w:hAnsi="Calibri" w:cs="Calibri"/>
          <w:b/>
          <w:bCs/>
          <w:color w:val="auto"/>
          <w:sz w:val="23"/>
          <w:szCs w:val="23"/>
        </w:rPr>
        <w:t>)</w:t>
      </w:r>
    </w:p>
    <w:p w:rsidR="00236F2F" w:rsidRDefault="00236F2F" w:rsidP="00236F2F">
      <w:pPr>
        <w:pStyle w:val="Default"/>
        <w:rPr>
          <w:rFonts w:ascii="新細明體" w:eastAsia="新細明體" w:hAnsi="Calibri" w:cs="新細明體"/>
          <w:color w:val="auto"/>
          <w:sz w:val="23"/>
          <w:szCs w:val="23"/>
        </w:rPr>
      </w:pPr>
      <w:r>
        <w:rPr>
          <w:rFonts w:ascii="Calibri" w:eastAsia="新細明體" w:hAnsi="Calibri" w:cs="Calibri"/>
          <w:color w:val="auto"/>
          <w:sz w:val="23"/>
          <w:szCs w:val="23"/>
        </w:rPr>
        <w:t>A</w:t>
      </w:r>
      <w:r>
        <w:rPr>
          <w:rFonts w:ascii="新細明體" w:eastAsia="新細明體" w:hAnsi="Calibri" w:cs="新細明體" w:hint="eastAsia"/>
          <w:color w:val="auto"/>
          <w:sz w:val="23"/>
          <w:szCs w:val="23"/>
        </w:rPr>
        <w:t>：「送審前五年內」係以經教育部審定通過，教師證書核定年資起計之時間為推算基準點，而非以送審人向學校第一級教評會提出申請之日期為推算基準點。</w:t>
      </w:r>
    </w:p>
    <w:p w:rsidR="00236F2F" w:rsidRDefault="00236F2F" w:rsidP="00236F2F">
      <w:pPr>
        <w:pStyle w:val="Default"/>
        <w:rPr>
          <w:rFonts w:ascii="新細明體" w:eastAsia="新細明體" w:hAnsi="Calibri" w:cs="新細明體"/>
          <w:color w:val="auto"/>
          <w:sz w:val="32"/>
          <w:szCs w:val="32"/>
        </w:rPr>
      </w:pPr>
      <w:r>
        <w:rPr>
          <w:rFonts w:ascii="新細明體" w:eastAsia="新細明體" w:hAnsi="Calibri" w:cs="新細明體" w:hint="eastAsia"/>
          <w:color w:val="auto"/>
          <w:sz w:val="32"/>
          <w:szCs w:val="32"/>
        </w:rPr>
        <w:t>※著作</w:t>
      </w:r>
    </w:p>
    <w:p w:rsidR="00236F2F" w:rsidRDefault="00236F2F" w:rsidP="00236F2F">
      <w:pPr>
        <w:pStyle w:val="Default"/>
        <w:rPr>
          <w:rFonts w:ascii="Calibri" w:eastAsia="新細明體" w:hAnsi="Calibri" w:cs="Calibri"/>
          <w:color w:val="auto"/>
          <w:sz w:val="23"/>
          <w:szCs w:val="23"/>
        </w:rPr>
      </w:pPr>
      <w:r>
        <w:rPr>
          <w:rFonts w:ascii="Calibri" w:eastAsia="新細明體" w:hAnsi="Calibri" w:cs="Calibri"/>
          <w:b/>
          <w:bCs/>
          <w:color w:val="auto"/>
          <w:sz w:val="23"/>
          <w:szCs w:val="23"/>
        </w:rPr>
        <w:t>Q1</w:t>
      </w:r>
      <w:r>
        <w:rPr>
          <w:rFonts w:ascii="新細明體" w:eastAsia="新細明體" w:hAnsi="Calibri" w:cs="新細明體" w:hint="eastAsia"/>
          <w:color w:val="auto"/>
          <w:sz w:val="23"/>
          <w:szCs w:val="23"/>
        </w:rPr>
        <w:t>：有關著作「出版公開發行」規定？</w:t>
      </w:r>
      <w:r>
        <w:rPr>
          <w:rFonts w:ascii="Calibri" w:eastAsia="新細明體" w:hAnsi="Calibri" w:cs="Calibri"/>
          <w:b/>
          <w:bCs/>
          <w:color w:val="auto"/>
          <w:sz w:val="23"/>
          <w:szCs w:val="23"/>
        </w:rPr>
        <w:t>(</w:t>
      </w:r>
      <w:r>
        <w:rPr>
          <w:rFonts w:ascii="新細明體" w:eastAsia="新細明體" w:hAnsi="Calibri" w:cs="新細明體" w:hint="eastAsia"/>
          <w:color w:val="auto"/>
          <w:sz w:val="23"/>
          <w:szCs w:val="23"/>
        </w:rPr>
        <w:t>教育部</w:t>
      </w:r>
      <w:r>
        <w:rPr>
          <w:rFonts w:ascii="Calibri" w:eastAsia="新細明體" w:hAnsi="Calibri" w:cs="Calibri"/>
          <w:b/>
          <w:bCs/>
          <w:color w:val="auto"/>
          <w:sz w:val="23"/>
          <w:szCs w:val="23"/>
        </w:rPr>
        <w:t>89.05.06</w:t>
      </w:r>
      <w:r>
        <w:rPr>
          <w:rFonts w:ascii="新細明體" w:eastAsia="新細明體" w:hAnsi="Calibri" w:cs="新細明體" w:hint="eastAsia"/>
          <w:color w:val="auto"/>
          <w:sz w:val="23"/>
          <w:szCs w:val="23"/>
        </w:rPr>
        <w:t>台</w:t>
      </w:r>
      <w:r>
        <w:rPr>
          <w:rFonts w:ascii="Calibri" w:eastAsia="新細明體" w:hAnsi="Calibri" w:cs="Calibri"/>
          <w:b/>
          <w:bCs/>
          <w:color w:val="auto"/>
          <w:sz w:val="23"/>
          <w:szCs w:val="23"/>
        </w:rPr>
        <w:t>(89)</w:t>
      </w:r>
      <w:r>
        <w:rPr>
          <w:rFonts w:ascii="新細明體" w:eastAsia="新細明體" w:hAnsi="Calibri" w:cs="新細明體" w:hint="eastAsia"/>
          <w:color w:val="auto"/>
          <w:sz w:val="23"/>
          <w:szCs w:val="23"/>
        </w:rPr>
        <w:t>審字第</w:t>
      </w:r>
      <w:r>
        <w:rPr>
          <w:rFonts w:ascii="Calibri" w:eastAsia="新細明體" w:hAnsi="Calibri" w:cs="Calibri"/>
          <w:b/>
          <w:bCs/>
          <w:color w:val="auto"/>
          <w:sz w:val="23"/>
          <w:szCs w:val="23"/>
        </w:rPr>
        <w:t>89051607</w:t>
      </w:r>
      <w:r>
        <w:rPr>
          <w:rFonts w:ascii="新細明體" w:eastAsia="新細明體" w:hAnsi="Calibri" w:cs="新細明體" w:hint="eastAsia"/>
          <w:color w:val="auto"/>
          <w:sz w:val="23"/>
          <w:szCs w:val="23"/>
        </w:rPr>
        <w:t>號</w:t>
      </w:r>
      <w:r>
        <w:rPr>
          <w:rFonts w:ascii="Calibri" w:eastAsia="新細明體" w:hAnsi="Calibri" w:cs="Calibri"/>
          <w:b/>
          <w:bCs/>
          <w:color w:val="auto"/>
          <w:sz w:val="23"/>
          <w:szCs w:val="23"/>
        </w:rPr>
        <w:t>)</w:t>
      </w:r>
    </w:p>
    <w:p w:rsidR="00236F2F" w:rsidRDefault="00236F2F" w:rsidP="00236F2F">
      <w:pPr>
        <w:pStyle w:val="Default"/>
        <w:rPr>
          <w:rFonts w:ascii="新細明體" w:eastAsia="新細明體" w:hAnsi="Calibri" w:cs="新細明體"/>
          <w:color w:val="auto"/>
          <w:sz w:val="23"/>
          <w:szCs w:val="23"/>
        </w:rPr>
      </w:pPr>
      <w:r>
        <w:rPr>
          <w:rFonts w:ascii="Calibri" w:eastAsia="新細明體" w:hAnsi="Calibri" w:cs="Calibri"/>
          <w:color w:val="auto"/>
          <w:sz w:val="23"/>
          <w:szCs w:val="23"/>
        </w:rPr>
        <w:t>A</w:t>
      </w:r>
      <w:r>
        <w:rPr>
          <w:rFonts w:ascii="新細明體" w:eastAsia="新細明體" w:hAnsi="Calibri" w:cs="新細明體" w:hint="eastAsia"/>
          <w:color w:val="auto"/>
          <w:sz w:val="23"/>
          <w:szCs w:val="23"/>
        </w:rPr>
        <w:t>：依據「專科以上學校教師資格審定辦法」規定所稱送審之專門著作應經出版公開發行者，係指著作應由出版社或圖書公司印製發行，載有作者、出版者、發行人、發行日期、定價等相關資料。至學校另有明確規定者，請依學校相關規定辦理。</w:t>
      </w:r>
    </w:p>
    <w:p w:rsidR="00236F2F" w:rsidRDefault="00236F2F" w:rsidP="00236F2F">
      <w:pPr>
        <w:pStyle w:val="Default"/>
        <w:rPr>
          <w:rFonts w:ascii="Calibri" w:eastAsia="新細明體" w:hAnsi="Calibri" w:cs="Calibri"/>
          <w:b/>
          <w:bCs/>
          <w:color w:val="auto"/>
          <w:sz w:val="23"/>
          <w:szCs w:val="23"/>
        </w:rPr>
      </w:pPr>
    </w:p>
    <w:p w:rsidR="00236F2F" w:rsidRDefault="00236F2F" w:rsidP="00236F2F">
      <w:pPr>
        <w:pStyle w:val="Default"/>
        <w:rPr>
          <w:rFonts w:ascii="Calibri" w:eastAsia="新細明體" w:hAnsi="Calibri" w:cs="Calibri"/>
          <w:color w:val="auto"/>
          <w:sz w:val="23"/>
          <w:szCs w:val="23"/>
        </w:rPr>
      </w:pPr>
      <w:r>
        <w:rPr>
          <w:rFonts w:ascii="Calibri" w:eastAsia="新細明體" w:hAnsi="Calibri" w:cs="Calibri"/>
          <w:b/>
          <w:bCs/>
          <w:color w:val="auto"/>
          <w:sz w:val="23"/>
          <w:szCs w:val="23"/>
        </w:rPr>
        <w:t>Q2</w:t>
      </w:r>
      <w:r>
        <w:rPr>
          <w:rFonts w:ascii="新細明體" w:eastAsia="新細明體" w:hAnsi="Calibri" w:cs="新細明體" w:hint="eastAsia"/>
          <w:color w:val="auto"/>
          <w:sz w:val="23"/>
          <w:szCs w:val="23"/>
        </w:rPr>
        <w:t>：學術研討會發表論文可否作為代表作審？</w:t>
      </w:r>
      <w:r>
        <w:rPr>
          <w:rFonts w:ascii="Calibri" w:eastAsia="新細明體" w:hAnsi="Calibri" w:cs="Calibri"/>
          <w:b/>
          <w:bCs/>
          <w:color w:val="auto"/>
          <w:sz w:val="23"/>
          <w:szCs w:val="23"/>
        </w:rPr>
        <w:t>(</w:t>
      </w:r>
      <w:r>
        <w:rPr>
          <w:rFonts w:ascii="新細明體" w:eastAsia="新細明體" w:hAnsi="Calibri" w:cs="新細明體" w:hint="eastAsia"/>
          <w:color w:val="auto"/>
          <w:sz w:val="23"/>
          <w:szCs w:val="23"/>
        </w:rPr>
        <w:t>教育部</w:t>
      </w:r>
      <w:r>
        <w:rPr>
          <w:rFonts w:ascii="Calibri" w:eastAsia="新細明體" w:hAnsi="Calibri" w:cs="Calibri"/>
          <w:b/>
          <w:bCs/>
          <w:color w:val="auto"/>
          <w:sz w:val="23"/>
          <w:szCs w:val="23"/>
        </w:rPr>
        <w:t>91.10.24</w:t>
      </w:r>
      <w:r>
        <w:rPr>
          <w:rFonts w:ascii="新細明體" w:eastAsia="新細明體" w:hAnsi="Calibri" w:cs="新細明體" w:hint="eastAsia"/>
          <w:color w:val="auto"/>
          <w:sz w:val="23"/>
          <w:szCs w:val="23"/>
        </w:rPr>
        <w:t>台</w:t>
      </w:r>
      <w:r>
        <w:rPr>
          <w:rFonts w:ascii="Calibri" w:eastAsia="新細明體" w:hAnsi="Calibri" w:cs="Calibri"/>
          <w:b/>
          <w:bCs/>
          <w:color w:val="auto"/>
          <w:sz w:val="23"/>
          <w:szCs w:val="23"/>
        </w:rPr>
        <w:t>(91)</w:t>
      </w:r>
      <w:r>
        <w:rPr>
          <w:rFonts w:ascii="新細明體" w:eastAsia="新細明體" w:hAnsi="Calibri" w:cs="新細明體" w:hint="eastAsia"/>
          <w:color w:val="auto"/>
          <w:sz w:val="23"/>
          <w:szCs w:val="23"/>
        </w:rPr>
        <w:t>審字第</w:t>
      </w:r>
      <w:r>
        <w:rPr>
          <w:rFonts w:ascii="Calibri" w:eastAsia="新細明體" w:hAnsi="Calibri" w:cs="Calibri"/>
          <w:b/>
          <w:bCs/>
          <w:color w:val="auto"/>
          <w:sz w:val="23"/>
          <w:szCs w:val="23"/>
        </w:rPr>
        <w:t>91157607</w:t>
      </w:r>
      <w:r>
        <w:rPr>
          <w:rFonts w:ascii="新細明體" w:eastAsia="新細明體" w:hAnsi="Calibri" w:cs="新細明體" w:hint="eastAsia"/>
          <w:color w:val="auto"/>
          <w:sz w:val="23"/>
          <w:szCs w:val="23"/>
        </w:rPr>
        <w:t>號</w:t>
      </w:r>
      <w:r>
        <w:rPr>
          <w:rFonts w:ascii="Calibri" w:eastAsia="新細明體" w:hAnsi="Calibri" w:cs="Calibri"/>
          <w:b/>
          <w:bCs/>
          <w:color w:val="auto"/>
          <w:sz w:val="23"/>
          <w:szCs w:val="23"/>
        </w:rPr>
        <w:t>)</w:t>
      </w:r>
    </w:p>
    <w:p w:rsidR="00236F2F" w:rsidRDefault="00236F2F" w:rsidP="00236F2F">
      <w:pPr>
        <w:pStyle w:val="Default"/>
        <w:rPr>
          <w:rFonts w:ascii="新細明體" w:eastAsia="新細明體" w:hAnsi="Calibri" w:cs="新細明體"/>
          <w:color w:val="auto"/>
          <w:sz w:val="23"/>
          <w:szCs w:val="23"/>
        </w:rPr>
      </w:pPr>
      <w:r>
        <w:rPr>
          <w:rFonts w:ascii="Calibri" w:eastAsia="新細明體" w:hAnsi="Calibri" w:cs="Calibri"/>
          <w:color w:val="auto"/>
          <w:sz w:val="23"/>
          <w:szCs w:val="23"/>
        </w:rPr>
        <w:t>A</w:t>
      </w:r>
      <w:r>
        <w:rPr>
          <w:rFonts w:ascii="新細明體" w:eastAsia="新細明體" w:hAnsi="Calibri" w:cs="新細明體" w:hint="eastAsia"/>
          <w:color w:val="auto"/>
          <w:sz w:val="23"/>
          <w:szCs w:val="23"/>
        </w:rPr>
        <w:t>：依據「專科以上學校教師資格審定辦法」規定：「專門著作應與任教科目性質相符，且係送審前</w:t>
      </w:r>
      <w:r>
        <w:rPr>
          <w:rFonts w:ascii="Calibri" w:eastAsia="新細明體" w:hAnsi="Calibri" w:cs="Calibri"/>
          <w:color w:val="auto"/>
          <w:sz w:val="23"/>
          <w:szCs w:val="23"/>
        </w:rPr>
        <w:t>5</w:t>
      </w:r>
      <w:r>
        <w:rPr>
          <w:rFonts w:ascii="新細明體" w:eastAsia="新細明體" w:hAnsi="Calibri" w:cs="新細明體" w:hint="eastAsia"/>
          <w:color w:val="auto"/>
          <w:sz w:val="23"/>
          <w:szCs w:val="23"/>
        </w:rPr>
        <w:t>年內在國內外知名學術或專業刊物發表或亡為接受且出具證明將定期發表，或經出版公開發行者。……」爰此，學術研討會發表之學術論文如於會後集結成冊並出版發行，則可視為符合前開規定。</w:t>
      </w:r>
    </w:p>
    <w:p w:rsidR="00236F2F" w:rsidRDefault="00236F2F" w:rsidP="00236F2F">
      <w:pPr>
        <w:pStyle w:val="Default"/>
        <w:rPr>
          <w:rFonts w:ascii="Calibri" w:eastAsia="新細明體" w:hAnsi="Calibri" w:cs="Calibri"/>
          <w:b/>
          <w:bCs/>
          <w:color w:val="auto"/>
          <w:sz w:val="23"/>
          <w:szCs w:val="23"/>
        </w:rPr>
      </w:pPr>
    </w:p>
    <w:p w:rsidR="00236F2F" w:rsidRDefault="00236F2F" w:rsidP="00236F2F">
      <w:pPr>
        <w:pStyle w:val="Default"/>
        <w:rPr>
          <w:rFonts w:ascii="Calibri" w:eastAsia="新細明體" w:hAnsi="Calibri" w:cs="Calibri"/>
          <w:color w:val="auto"/>
          <w:sz w:val="23"/>
          <w:szCs w:val="23"/>
        </w:rPr>
      </w:pPr>
      <w:r>
        <w:rPr>
          <w:rFonts w:ascii="Calibri" w:eastAsia="新細明體" w:hAnsi="Calibri" w:cs="Calibri"/>
          <w:b/>
          <w:bCs/>
          <w:color w:val="auto"/>
          <w:sz w:val="23"/>
          <w:szCs w:val="23"/>
        </w:rPr>
        <w:t>Q3</w:t>
      </w:r>
      <w:r>
        <w:rPr>
          <w:rFonts w:ascii="新細明體" w:eastAsia="新細明體" w:hAnsi="Calibri" w:cs="新細明體" w:hint="eastAsia"/>
          <w:color w:val="auto"/>
          <w:sz w:val="23"/>
          <w:szCs w:val="23"/>
        </w:rPr>
        <w:t>：送審之專書得否以簽定同意出版之合約代表已出版？</w:t>
      </w:r>
      <w:r>
        <w:rPr>
          <w:rFonts w:ascii="Calibri" w:eastAsia="新細明體" w:hAnsi="Calibri" w:cs="Calibri"/>
          <w:b/>
          <w:bCs/>
          <w:color w:val="auto"/>
          <w:sz w:val="23"/>
          <w:szCs w:val="23"/>
        </w:rPr>
        <w:t>(</w:t>
      </w:r>
      <w:r>
        <w:rPr>
          <w:rFonts w:ascii="新細明體" w:eastAsia="新細明體" w:hAnsi="Calibri" w:cs="新細明體" w:hint="eastAsia"/>
          <w:color w:val="auto"/>
          <w:sz w:val="23"/>
          <w:szCs w:val="23"/>
        </w:rPr>
        <w:t>專科以上學校教師資格審查工作手冊</w:t>
      </w:r>
      <w:r>
        <w:rPr>
          <w:rFonts w:ascii="Calibri" w:eastAsia="新細明體" w:hAnsi="Calibri" w:cs="Calibri"/>
          <w:b/>
          <w:bCs/>
          <w:color w:val="auto"/>
          <w:sz w:val="23"/>
          <w:szCs w:val="23"/>
        </w:rPr>
        <w:t>96.07.30</w:t>
      </w:r>
      <w:r>
        <w:rPr>
          <w:rFonts w:ascii="新細明體" w:eastAsia="新細明體" w:hAnsi="Calibri" w:cs="新細明體" w:hint="eastAsia"/>
          <w:color w:val="auto"/>
          <w:sz w:val="23"/>
          <w:szCs w:val="23"/>
        </w:rPr>
        <w:t>編印</w:t>
      </w:r>
      <w:r>
        <w:rPr>
          <w:rFonts w:ascii="Calibri" w:eastAsia="新細明體" w:hAnsi="Calibri" w:cs="Calibri"/>
          <w:b/>
          <w:bCs/>
          <w:color w:val="auto"/>
          <w:sz w:val="23"/>
          <w:szCs w:val="23"/>
        </w:rPr>
        <w:t>p.119)</w:t>
      </w:r>
    </w:p>
    <w:p w:rsidR="00236F2F" w:rsidRDefault="00236F2F" w:rsidP="00236F2F">
      <w:pPr>
        <w:pStyle w:val="Default"/>
        <w:rPr>
          <w:rFonts w:ascii="新細明體" w:eastAsia="新細明體" w:hAnsi="Calibri" w:cs="新細明體"/>
          <w:color w:val="auto"/>
          <w:sz w:val="23"/>
          <w:szCs w:val="23"/>
        </w:rPr>
      </w:pPr>
      <w:r>
        <w:rPr>
          <w:rFonts w:ascii="Calibri" w:eastAsia="新細明體" w:hAnsi="Calibri" w:cs="Calibri"/>
          <w:color w:val="auto"/>
          <w:sz w:val="23"/>
          <w:szCs w:val="23"/>
        </w:rPr>
        <w:t>A</w:t>
      </w:r>
      <w:r>
        <w:rPr>
          <w:rFonts w:ascii="新細明體" w:eastAsia="新細明體" w:hAnsi="Calibri" w:cs="新細明體" w:hint="eastAsia"/>
          <w:color w:val="auto"/>
          <w:sz w:val="23"/>
          <w:szCs w:val="23"/>
        </w:rPr>
        <w:t>：</w:t>
      </w:r>
    </w:p>
    <w:p w:rsidR="00236F2F" w:rsidRDefault="00236F2F" w:rsidP="00236F2F">
      <w:pPr>
        <w:pStyle w:val="Default"/>
        <w:rPr>
          <w:rFonts w:ascii="新細明體" w:eastAsia="新細明體" w:hAnsi="Calibri" w:cs="新細明體"/>
          <w:color w:val="auto"/>
          <w:sz w:val="23"/>
          <w:szCs w:val="23"/>
        </w:rPr>
      </w:pPr>
      <w:r>
        <w:rPr>
          <w:rFonts w:ascii="新細明體" w:eastAsia="新細明體" w:hAnsi="Calibri" w:cs="新細明體" w:hint="eastAsia"/>
          <w:color w:val="auto"/>
          <w:sz w:val="23"/>
          <w:szCs w:val="23"/>
        </w:rPr>
        <w:t>一、按教師送審之著</w:t>
      </w:r>
      <w:r>
        <w:rPr>
          <w:rFonts w:ascii="Calibri" w:eastAsia="新細明體" w:hAnsi="Calibri" w:cs="Calibri"/>
          <w:color w:val="auto"/>
          <w:sz w:val="23"/>
          <w:szCs w:val="23"/>
        </w:rPr>
        <w:t>(</w:t>
      </w:r>
      <w:r>
        <w:rPr>
          <w:rFonts w:ascii="新細明體" w:eastAsia="新細明體" w:hAnsi="Calibri" w:cs="新細明體" w:hint="eastAsia"/>
          <w:color w:val="auto"/>
          <w:sz w:val="23"/>
          <w:szCs w:val="23"/>
        </w:rPr>
        <w:t>含代表作及參考著作</w:t>
      </w:r>
      <w:r>
        <w:rPr>
          <w:rFonts w:ascii="Calibri" w:eastAsia="新細明體" w:hAnsi="Calibri" w:cs="Calibri"/>
          <w:color w:val="auto"/>
          <w:sz w:val="23"/>
          <w:szCs w:val="23"/>
        </w:rPr>
        <w:t>)</w:t>
      </w:r>
      <w:r>
        <w:rPr>
          <w:rFonts w:ascii="新細明體" w:eastAsia="新細明體" w:hAnsi="Calibri" w:cs="新細明體" w:hint="eastAsia"/>
          <w:color w:val="auto"/>
          <w:sz w:val="23"/>
          <w:szCs w:val="23"/>
        </w:rPr>
        <w:t>性質分類為學術論文及專書，其應符合之條件，前者須為已發表</w:t>
      </w:r>
      <w:r>
        <w:rPr>
          <w:rFonts w:ascii="Calibri" w:eastAsia="新細明體" w:hAnsi="Calibri" w:cs="Calibri"/>
          <w:color w:val="auto"/>
          <w:sz w:val="23"/>
          <w:szCs w:val="23"/>
        </w:rPr>
        <w:t>(</w:t>
      </w:r>
      <w:r>
        <w:rPr>
          <w:rFonts w:ascii="新細明體" w:eastAsia="新細明體" w:hAnsi="Calibri" w:cs="新細明體" w:hint="eastAsia"/>
          <w:color w:val="auto"/>
          <w:sz w:val="23"/>
          <w:szCs w:val="23"/>
        </w:rPr>
        <w:t>載明學術性刊物名稱、卷期、出版時間</w:t>
      </w:r>
      <w:r>
        <w:rPr>
          <w:rFonts w:ascii="Calibri" w:eastAsia="新細明體" w:hAnsi="Calibri" w:cs="Calibri"/>
          <w:color w:val="auto"/>
          <w:sz w:val="23"/>
          <w:szCs w:val="23"/>
        </w:rPr>
        <w:t>)</w:t>
      </w:r>
      <w:r>
        <w:rPr>
          <w:rFonts w:ascii="新細明體" w:eastAsia="新細明體" w:hAnsi="Calibri" w:cs="新細明體" w:hint="eastAsia"/>
          <w:color w:val="auto"/>
          <w:sz w:val="23"/>
          <w:szCs w:val="23"/>
        </w:rPr>
        <w:t>已為接再將定期發表者，應附接受函之證明；後者須由出版社或圖書公司印製發行，載明作者、發行人、發行所、印刷者、出版日期、定價等相關資料。</w:t>
      </w:r>
    </w:p>
    <w:p w:rsidR="00236F2F" w:rsidRDefault="00236F2F" w:rsidP="00236F2F">
      <w:pPr>
        <w:pStyle w:val="Default"/>
        <w:rPr>
          <w:rFonts w:ascii="新細明體" w:eastAsia="新細明體" w:hAnsi="Calibri" w:cs="新細明體"/>
          <w:color w:val="auto"/>
          <w:sz w:val="23"/>
          <w:szCs w:val="23"/>
        </w:rPr>
      </w:pPr>
      <w:r>
        <w:rPr>
          <w:rFonts w:ascii="新細明體" w:eastAsia="新細明體" w:hAnsi="Calibri" w:cs="新細明體" w:hint="eastAsia"/>
          <w:color w:val="auto"/>
          <w:sz w:val="23"/>
          <w:szCs w:val="23"/>
        </w:rPr>
        <w:t>二、有關「經出版公開發行者」；其「公開」之定義謂專書已正式出版，於市面流通，如教師僅取得簽定同意出版之合約，惟其個人專著尚未付梓，仍與規定未符。</w:t>
      </w:r>
    </w:p>
    <w:p w:rsidR="00236F2F" w:rsidRDefault="00236F2F" w:rsidP="00236F2F">
      <w:pPr>
        <w:pStyle w:val="Default"/>
        <w:rPr>
          <w:rFonts w:ascii="Calibri" w:eastAsia="新細明體" w:hAnsi="Calibri" w:cs="Calibri"/>
          <w:b/>
          <w:bCs/>
          <w:color w:val="auto"/>
          <w:sz w:val="23"/>
          <w:szCs w:val="23"/>
        </w:rPr>
      </w:pPr>
    </w:p>
    <w:p w:rsidR="00236F2F" w:rsidRDefault="00236F2F" w:rsidP="00236F2F">
      <w:pPr>
        <w:pStyle w:val="Default"/>
        <w:rPr>
          <w:rFonts w:ascii="Calibri" w:eastAsia="新細明體" w:hAnsi="Calibri" w:cs="Calibri"/>
          <w:color w:val="auto"/>
          <w:sz w:val="23"/>
          <w:szCs w:val="23"/>
        </w:rPr>
      </w:pPr>
      <w:r>
        <w:rPr>
          <w:rFonts w:ascii="Calibri" w:eastAsia="新細明體" w:hAnsi="Calibri" w:cs="Calibri"/>
          <w:b/>
          <w:bCs/>
          <w:color w:val="auto"/>
          <w:sz w:val="23"/>
          <w:szCs w:val="23"/>
        </w:rPr>
        <w:t>Q4</w:t>
      </w:r>
      <w:r>
        <w:rPr>
          <w:rFonts w:ascii="新細明體" w:eastAsia="新細明體" w:hAnsi="Calibri" w:cs="新細明體" w:hint="eastAsia"/>
          <w:color w:val="auto"/>
          <w:sz w:val="23"/>
          <w:szCs w:val="23"/>
        </w:rPr>
        <w:t>：經審定不通過者得否再以相同或相似題目之代表作審？</w:t>
      </w:r>
      <w:r>
        <w:rPr>
          <w:rFonts w:ascii="Calibri" w:eastAsia="新細明體" w:hAnsi="Calibri" w:cs="Calibri"/>
          <w:b/>
          <w:bCs/>
          <w:color w:val="auto"/>
          <w:sz w:val="23"/>
          <w:szCs w:val="23"/>
        </w:rPr>
        <w:t>(</w:t>
      </w:r>
      <w:r>
        <w:rPr>
          <w:rFonts w:ascii="新細明體" w:eastAsia="新細明體" w:hAnsi="Calibri" w:cs="新細明體" w:hint="eastAsia"/>
          <w:color w:val="auto"/>
          <w:sz w:val="23"/>
          <w:szCs w:val="23"/>
        </w:rPr>
        <w:t>教育部</w:t>
      </w:r>
      <w:r>
        <w:rPr>
          <w:rFonts w:ascii="Calibri" w:eastAsia="新細明體" w:hAnsi="Calibri" w:cs="Calibri"/>
          <w:b/>
          <w:bCs/>
          <w:color w:val="auto"/>
          <w:sz w:val="23"/>
          <w:szCs w:val="23"/>
        </w:rPr>
        <w:t>79.11.9</w:t>
      </w:r>
      <w:r>
        <w:rPr>
          <w:rFonts w:ascii="新細明體" w:eastAsia="新細明體" w:hAnsi="Calibri" w:cs="新細明體" w:hint="eastAsia"/>
          <w:color w:val="auto"/>
          <w:sz w:val="23"/>
          <w:szCs w:val="23"/>
        </w:rPr>
        <w:t>台</w:t>
      </w:r>
      <w:r>
        <w:rPr>
          <w:rFonts w:ascii="Calibri" w:eastAsia="新細明體" w:hAnsi="Calibri" w:cs="Calibri"/>
          <w:b/>
          <w:bCs/>
          <w:color w:val="auto"/>
          <w:sz w:val="23"/>
          <w:szCs w:val="23"/>
        </w:rPr>
        <w:t>(79)</w:t>
      </w:r>
      <w:r>
        <w:rPr>
          <w:rFonts w:ascii="新細明體" w:eastAsia="新細明體" w:hAnsi="Calibri" w:cs="新細明體" w:hint="eastAsia"/>
          <w:color w:val="auto"/>
          <w:sz w:val="23"/>
          <w:szCs w:val="23"/>
        </w:rPr>
        <w:t>字第</w:t>
      </w:r>
      <w:r>
        <w:rPr>
          <w:rFonts w:ascii="Calibri" w:eastAsia="新細明體" w:hAnsi="Calibri" w:cs="Calibri"/>
          <w:b/>
          <w:bCs/>
          <w:color w:val="auto"/>
          <w:sz w:val="23"/>
          <w:szCs w:val="23"/>
        </w:rPr>
        <w:t>55322</w:t>
      </w:r>
      <w:r>
        <w:rPr>
          <w:rFonts w:ascii="新細明體" w:eastAsia="新細明體" w:hAnsi="Calibri" w:cs="新細明體" w:hint="eastAsia"/>
          <w:color w:val="auto"/>
          <w:sz w:val="23"/>
          <w:szCs w:val="23"/>
        </w:rPr>
        <w:t>號</w:t>
      </w:r>
      <w:r>
        <w:rPr>
          <w:rFonts w:ascii="Calibri" w:eastAsia="新細明體" w:hAnsi="Calibri" w:cs="Calibri"/>
          <w:b/>
          <w:bCs/>
          <w:color w:val="auto"/>
          <w:sz w:val="23"/>
          <w:szCs w:val="23"/>
        </w:rPr>
        <w:t>)</w:t>
      </w:r>
    </w:p>
    <w:p w:rsidR="00236F2F" w:rsidRDefault="00236F2F" w:rsidP="00236F2F">
      <w:pPr>
        <w:pStyle w:val="Default"/>
        <w:rPr>
          <w:rFonts w:ascii="新細明體" w:eastAsia="新細明體" w:hAnsi="Calibri" w:cs="新細明體"/>
          <w:color w:val="auto"/>
          <w:sz w:val="23"/>
          <w:szCs w:val="23"/>
        </w:rPr>
      </w:pPr>
      <w:r>
        <w:rPr>
          <w:rFonts w:ascii="Calibri" w:eastAsia="新細明體" w:hAnsi="Calibri" w:cs="Calibri"/>
          <w:color w:val="auto"/>
          <w:sz w:val="23"/>
          <w:szCs w:val="23"/>
        </w:rPr>
        <w:t>A</w:t>
      </w:r>
      <w:r>
        <w:rPr>
          <w:rFonts w:ascii="新細明體" w:eastAsia="新細明體" w:hAnsi="Calibri" w:cs="新細明體" w:hint="eastAsia"/>
          <w:color w:val="auto"/>
          <w:sz w:val="23"/>
          <w:szCs w:val="23"/>
        </w:rPr>
        <w:t>：原送著作之題目不具學術研究性質，或與送審人任教科目或專長不符而未通過者，不得再以同一題目之著作審。非因上述原因未予通過者，其著作內容經相當之改進並出版後，</w:t>
      </w:r>
      <w:r>
        <w:rPr>
          <w:rFonts w:ascii="新細明體" w:eastAsia="新細明體" w:cs="新細明體" w:hint="eastAsia"/>
          <w:color w:val="auto"/>
          <w:sz w:val="23"/>
          <w:szCs w:val="23"/>
        </w:rPr>
        <w:t>仍得以同一題目之著作審，惟須檢附前次送審著作</w:t>
      </w:r>
      <w:r>
        <w:rPr>
          <w:rFonts w:ascii="Calibri" w:eastAsia="新細明體" w:hAnsi="Calibri" w:cs="Calibri"/>
          <w:color w:val="auto"/>
          <w:sz w:val="23"/>
          <w:szCs w:val="23"/>
        </w:rPr>
        <w:t>3</w:t>
      </w:r>
      <w:r>
        <w:rPr>
          <w:rFonts w:ascii="新細明體" w:eastAsia="新細明體" w:hAnsi="Calibri" w:cs="新細明體" w:hint="eastAsia"/>
          <w:color w:val="auto"/>
          <w:sz w:val="23"/>
          <w:szCs w:val="23"/>
        </w:rPr>
        <w:t>冊及新舊作異同對照表各</w:t>
      </w:r>
      <w:r>
        <w:rPr>
          <w:rFonts w:ascii="Calibri" w:eastAsia="新細明體" w:hAnsi="Calibri" w:cs="Calibri"/>
          <w:color w:val="auto"/>
          <w:sz w:val="23"/>
          <w:szCs w:val="23"/>
        </w:rPr>
        <w:t>3</w:t>
      </w:r>
      <w:r>
        <w:rPr>
          <w:rFonts w:ascii="新細明體" w:eastAsia="新細明體" w:hAnsi="Calibri" w:cs="新細明體" w:hint="eastAsia"/>
          <w:color w:val="auto"/>
          <w:sz w:val="23"/>
          <w:szCs w:val="23"/>
        </w:rPr>
        <w:t>份。學校應將再次審之各篇論文再做實質審查通過後，再報教育部複審。</w:t>
      </w:r>
    </w:p>
    <w:p w:rsidR="00236F2F" w:rsidRDefault="00236F2F" w:rsidP="00236F2F">
      <w:pPr>
        <w:pStyle w:val="Default"/>
        <w:rPr>
          <w:rFonts w:ascii="Calibri" w:eastAsia="新細明體" w:hAnsi="Calibri" w:cs="Calibri"/>
          <w:b/>
          <w:bCs/>
          <w:color w:val="auto"/>
          <w:sz w:val="23"/>
          <w:szCs w:val="23"/>
        </w:rPr>
      </w:pPr>
    </w:p>
    <w:p w:rsidR="00236F2F" w:rsidRDefault="00236F2F" w:rsidP="00236F2F">
      <w:pPr>
        <w:pStyle w:val="Default"/>
        <w:rPr>
          <w:rFonts w:ascii="Calibri" w:eastAsia="新細明體" w:hAnsi="Calibri" w:cs="Calibri"/>
          <w:color w:val="auto"/>
          <w:sz w:val="23"/>
          <w:szCs w:val="23"/>
        </w:rPr>
      </w:pPr>
      <w:r>
        <w:rPr>
          <w:rFonts w:ascii="Calibri" w:eastAsia="新細明體" w:hAnsi="Calibri" w:cs="Calibri"/>
          <w:b/>
          <w:bCs/>
          <w:color w:val="auto"/>
          <w:sz w:val="23"/>
          <w:szCs w:val="23"/>
        </w:rPr>
        <w:t>Q5</w:t>
      </w:r>
      <w:r>
        <w:rPr>
          <w:rFonts w:ascii="新細明體" w:eastAsia="新細明體" w:hAnsi="Calibri" w:cs="新細明體" w:hint="eastAsia"/>
          <w:color w:val="auto"/>
          <w:sz w:val="23"/>
          <w:szCs w:val="23"/>
        </w:rPr>
        <w:t>：「已為接受將定期發表之證明其專門著作應於一年內發表」之時間起計點？</w:t>
      </w:r>
      <w:r>
        <w:rPr>
          <w:rFonts w:ascii="Calibri" w:eastAsia="新細明體" w:hAnsi="Calibri" w:cs="Calibri"/>
          <w:b/>
          <w:bCs/>
          <w:color w:val="auto"/>
          <w:sz w:val="23"/>
          <w:szCs w:val="23"/>
        </w:rPr>
        <w:t>(</w:t>
      </w:r>
      <w:r>
        <w:rPr>
          <w:rFonts w:ascii="新細明體" w:eastAsia="新細明體" w:hAnsi="Calibri" w:cs="新細明體" w:hint="eastAsia"/>
          <w:color w:val="auto"/>
          <w:sz w:val="23"/>
          <w:szCs w:val="23"/>
        </w:rPr>
        <w:t>教育部</w:t>
      </w:r>
      <w:r>
        <w:rPr>
          <w:rFonts w:ascii="Calibri" w:eastAsia="新細明體" w:hAnsi="Calibri" w:cs="Calibri"/>
          <w:b/>
          <w:bCs/>
          <w:color w:val="auto"/>
          <w:sz w:val="23"/>
          <w:szCs w:val="23"/>
        </w:rPr>
        <w:t>93.4.8</w:t>
      </w:r>
      <w:r>
        <w:rPr>
          <w:rFonts w:ascii="新細明體" w:eastAsia="新細明體" w:hAnsi="Calibri" w:cs="新細明體" w:hint="eastAsia"/>
          <w:color w:val="auto"/>
          <w:sz w:val="23"/>
          <w:szCs w:val="23"/>
        </w:rPr>
        <w:t>台學審字第</w:t>
      </w:r>
      <w:r>
        <w:rPr>
          <w:rFonts w:ascii="Calibri" w:eastAsia="新細明體" w:hAnsi="Calibri" w:cs="Calibri"/>
          <w:b/>
          <w:bCs/>
          <w:color w:val="auto"/>
          <w:sz w:val="23"/>
          <w:szCs w:val="23"/>
        </w:rPr>
        <w:t>0930045383</w:t>
      </w:r>
      <w:r>
        <w:rPr>
          <w:rFonts w:ascii="新細明體" w:eastAsia="新細明體" w:hAnsi="Calibri" w:cs="新細明體" w:hint="eastAsia"/>
          <w:color w:val="auto"/>
          <w:sz w:val="23"/>
          <w:szCs w:val="23"/>
        </w:rPr>
        <w:t>號</w:t>
      </w:r>
      <w:r>
        <w:rPr>
          <w:rFonts w:ascii="Calibri" w:eastAsia="新細明體" w:hAnsi="Calibri" w:cs="Calibri"/>
          <w:b/>
          <w:bCs/>
          <w:color w:val="auto"/>
          <w:sz w:val="23"/>
          <w:szCs w:val="23"/>
        </w:rPr>
        <w:t>)</w:t>
      </w:r>
    </w:p>
    <w:p w:rsidR="00236F2F" w:rsidRDefault="00236F2F" w:rsidP="00236F2F">
      <w:pPr>
        <w:pStyle w:val="Default"/>
        <w:rPr>
          <w:rFonts w:ascii="新細明體" w:eastAsia="新細明體" w:hAnsi="Calibri" w:cs="新細明體"/>
          <w:color w:val="auto"/>
          <w:sz w:val="23"/>
          <w:szCs w:val="23"/>
        </w:rPr>
      </w:pPr>
      <w:r>
        <w:rPr>
          <w:rFonts w:ascii="Calibri" w:eastAsia="新細明體" w:hAnsi="Calibri" w:cs="Calibri"/>
          <w:color w:val="auto"/>
          <w:sz w:val="23"/>
          <w:szCs w:val="23"/>
        </w:rPr>
        <w:t>A</w:t>
      </w:r>
      <w:r>
        <w:rPr>
          <w:rFonts w:ascii="新細明體" w:eastAsia="新細明體" w:hAnsi="Calibri" w:cs="新細明體" w:hint="eastAsia"/>
          <w:color w:val="auto"/>
          <w:sz w:val="23"/>
          <w:szCs w:val="23"/>
        </w:rPr>
        <w:t>：教師持「已為接受將定期發表之證明，其專門著作應於一年內發表」者，其</w:t>
      </w:r>
      <w:r>
        <w:rPr>
          <w:rFonts w:ascii="Calibri" w:eastAsia="新細明體" w:hAnsi="Calibri" w:cs="Calibri"/>
          <w:color w:val="auto"/>
          <w:sz w:val="23"/>
          <w:szCs w:val="23"/>
        </w:rPr>
        <w:t>1</w:t>
      </w:r>
      <w:r>
        <w:rPr>
          <w:rFonts w:ascii="新細明體" w:eastAsia="新細明體" w:hAnsi="Calibri" w:cs="新細明體" w:hint="eastAsia"/>
          <w:color w:val="auto"/>
          <w:sz w:val="23"/>
          <w:szCs w:val="23"/>
        </w:rPr>
        <w:t>年之起計時間點應以該刊物證明上所載日期為準。</w:t>
      </w:r>
    </w:p>
    <w:p w:rsidR="00236F2F" w:rsidRDefault="00236F2F" w:rsidP="00236F2F">
      <w:pPr>
        <w:pStyle w:val="Default"/>
        <w:rPr>
          <w:rFonts w:ascii="Calibri" w:eastAsia="新細明體" w:hAnsi="Calibri" w:cs="Calibri"/>
          <w:b/>
          <w:bCs/>
          <w:color w:val="auto"/>
          <w:sz w:val="23"/>
          <w:szCs w:val="23"/>
        </w:rPr>
      </w:pPr>
    </w:p>
    <w:p w:rsidR="00236F2F" w:rsidRDefault="00236F2F" w:rsidP="00236F2F">
      <w:pPr>
        <w:pStyle w:val="Default"/>
        <w:rPr>
          <w:rFonts w:ascii="Calibri" w:eastAsia="新細明體" w:hAnsi="Calibri" w:cs="Calibri"/>
          <w:color w:val="auto"/>
          <w:sz w:val="23"/>
          <w:szCs w:val="23"/>
        </w:rPr>
      </w:pPr>
      <w:r>
        <w:rPr>
          <w:rFonts w:ascii="Calibri" w:eastAsia="新細明體" w:hAnsi="Calibri" w:cs="Calibri"/>
          <w:b/>
          <w:bCs/>
          <w:color w:val="auto"/>
          <w:sz w:val="23"/>
          <w:szCs w:val="23"/>
        </w:rPr>
        <w:t>Q6</w:t>
      </w:r>
      <w:r>
        <w:rPr>
          <w:rFonts w:ascii="新細明體" w:eastAsia="新細明體" w:hAnsi="Calibri" w:cs="新細明體" w:hint="eastAsia"/>
          <w:color w:val="auto"/>
          <w:sz w:val="23"/>
          <w:szCs w:val="23"/>
        </w:rPr>
        <w:t>：教師以學位論文取得助理教授資格後，復以該論文之全部或一部分後續研究列為升等參考著作，是否應附異同對照表？</w:t>
      </w:r>
      <w:r>
        <w:rPr>
          <w:rFonts w:ascii="Calibri" w:eastAsia="新細明體" w:hAnsi="Calibri" w:cs="Calibri"/>
          <w:b/>
          <w:bCs/>
          <w:color w:val="auto"/>
          <w:sz w:val="23"/>
          <w:szCs w:val="23"/>
        </w:rPr>
        <w:t>(</w:t>
      </w:r>
      <w:r>
        <w:rPr>
          <w:rFonts w:ascii="新細明體" w:eastAsia="新細明體" w:hAnsi="Calibri" w:cs="新細明體" w:hint="eastAsia"/>
          <w:color w:val="auto"/>
          <w:sz w:val="23"/>
          <w:szCs w:val="23"/>
        </w:rPr>
        <w:t>教育部</w:t>
      </w:r>
      <w:r>
        <w:rPr>
          <w:rFonts w:ascii="Calibri" w:eastAsia="新細明體" w:hAnsi="Calibri" w:cs="Calibri"/>
          <w:b/>
          <w:bCs/>
          <w:color w:val="auto"/>
          <w:sz w:val="23"/>
          <w:szCs w:val="23"/>
        </w:rPr>
        <w:t>96.4.9</w:t>
      </w:r>
      <w:r>
        <w:rPr>
          <w:rFonts w:ascii="新細明體" w:eastAsia="新細明體" w:hAnsi="Calibri" w:cs="新細明體" w:hint="eastAsia"/>
          <w:color w:val="auto"/>
          <w:sz w:val="23"/>
          <w:szCs w:val="23"/>
        </w:rPr>
        <w:t>台學審字第</w:t>
      </w:r>
      <w:r>
        <w:rPr>
          <w:rFonts w:ascii="Calibri" w:eastAsia="新細明體" w:hAnsi="Calibri" w:cs="Calibri"/>
          <w:b/>
          <w:bCs/>
          <w:color w:val="auto"/>
          <w:sz w:val="23"/>
          <w:szCs w:val="23"/>
        </w:rPr>
        <w:t>0960050665</w:t>
      </w:r>
      <w:r>
        <w:rPr>
          <w:rFonts w:ascii="新細明體" w:eastAsia="新細明體" w:hAnsi="Calibri" w:cs="新細明體" w:hint="eastAsia"/>
          <w:color w:val="auto"/>
          <w:sz w:val="23"/>
          <w:szCs w:val="23"/>
        </w:rPr>
        <w:t>號</w:t>
      </w:r>
      <w:r>
        <w:rPr>
          <w:rFonts w:ascii="Calibri" w:eastAsia="新細明體" w:hAnsi="Calibri" w:cs="Calibri"/>
          <w:b/>
          <w:bCs/>
          <w:color w:val="auto"/>
          <w:sz w:val="23"/>
          <w:szCs w:val="23"/>
        </w:rPr>
        <w:t>)</w:t>
      </w:r>
    </w:p>
    <w:p w:rsidR="00236F2F" w:rsidRDefault="00236F2F" w:rsidP="00236F2F">
      <w:pPr>
        <w:pStyle w:val="Default"/>
        <w:rPr>
          <w:rFonts w:ascii="新細明體" w:eastAsia="新細明體" w:hAnsi="Calibri" w:cs="新細明體"/>
          <w:color w:val="auto"/>
          <w:sz w:val="23"/>
          <w:szCs w:val="23"/>
        </w:rPr>
      </w:pPr>
      <w:r>
        <w:rPr>
          <w:rFonts w:ascii="Calibri" w:eastAsia="新細明體" w:hAnsi="Calibri" w:cs="Calibri"/>
          <w:color w:val="auto"/>
          <w:sz w:val="23"/>
          <w:szCs w:val="23"/>
        </w:rPr>
        <w:t>A</w:t>
      </w:r>
      <w:r>
        <w:rPr>
          <w:rFonts w:ascii="新細明體" w:eastAsia="新細明體" w:hAnsi="Calibri" w:cs="新細明體" w:hint="eastAsia"/>
          <w:color w:val="auto"/>
          <w:sz w:val="23"/>
          <w:szCs w:val="23"/>
        </w:rPr>
        <w:t>：一、依專科以上學校教師資格審定辦法第</w:t>
      </w:r>
      <w:r>
        <w:rPr>
          <w:rFonts w:ascii="Calibri" w:eastAsia="新細明體" w:hAnsi="Calibri" w:cs="Calibri"/>
          <w:color w:val="auto"/>
          <w:sz w:val="23"/>
          <w:szCs w:val="23"/>
        </w:rPr>
        <w:t>11</w:t>
      </w:r>
      <w:r>
        <w:rPr>
          <w:rFonts w:ascii="新細明體" w:eastAsia="新細明體" w:hAnsi="Calibri" w:cs="新細明體" w:hint="eastAsia"/>
          <w:color w:val="auto"/>
          <w:sz w:val="23"/>
          <w:szCs w:val="23"/>
        </w:rPr>
        <w:t>條規定略以，送審專門著作</w:t>
      </w:r>
      <w:r>
        <w:rPr>
          <w:rFonts w:ascii="Calibri" w:eastAsia="新細明體" w:hAnsi="Calibri" w:cs="Calibri"/>
          <w:color w:val="auto"/>
          <w:sz w:val="23"/>
          <w:szCs w:val="23"/>
        </w:rPr>
        <w:t>(</w:t>
      </w:r>
      <w:r>
        <w:rPr>
          <w:rFonts w:ascii="新細明體" w:eastAsia="新細明體" w:hAnsi="Calibri" w:cs="新細明體" w:hint="eastAsia"/>
          <w:color w:val="auto"/>
          <w:sz w:val="23"/>
          <w:szCs w:val="23"/>
        </w:rPr>
        <w:t>含參考著作</w:t>
      </w:r>
      <w:r>
        <w:rPr>
          <w:rFonts w:ascii="Calibri" w:eastAsia="新細明體" w:hAnsi="Calibri" w:cs="Calibri"/>
          <w:color w:val="auto"/>
          <w:sz w:val="23"/>
          <w:szCs w:val="23"/>
        </w:rPr>
        <w:t>)</w:t>
      </w:r>
      <w:r>
        <w:rPr>
          <w:rFonts w:ascii="新細明體" w:eastAsia="新細明體" w:hAnsi="Calibri" w:cs="新細明體" w:hint="eastAsia"/>
          <w:color w:val="auto"/>
          <w:sz w:val="23"/>
          <w:szCs w:val="23"/>
        </w:rPr>
        <w:t>應於送審前</w:t>
      </w:r>
      <w:r>
        <w:rPr>
          <w:rFonts w:ascii="Calibri" w:eastAsia="新細明體" w:hAnsi="Calibri" w:cs="Calibri"/>
          <w:color w:val="auto"/>
          <w:sz w:val="23"/>
          <w:szCs w:val="23"/>
        </w:rPr>
        <w:t>5</w:t>
      </w:r>
      <w:r>
        <w:rPr>
          <w:rFonts w:ascii="新細明體" w:eastAsia="新細明體" w:hAnsi="Calibri" w:cs="新細明體" w:hint="eastAsia"/>
          <w:color w:val="auto"/>
          <w:sz w:val="23"/>
          <w:szCs w:val="23"/>
        </w:rPr>
        <w:t>年內及取得前一等級教師資格後在國內外學術或專業期刊發表，或公開出版發行者。本案應先究明所詢該參考著作是否符合前述時間及出版發行之規定，如未符，自不得作為送審專門著作。</w:t>
      </w:r>
    </w:p>
    <w:p w:rsidR="00236F2F" w:rsidRDefault="00236F2F" w:rsidP="00236F2F">
      <w:pPr>
        <w:pStyle w:val="Default"/>
        <w:rPr>
          <w:rFonts w:ascii="新細明體" w:eastAsia="新細明體" w:hAnsi="Calibri" w:cs="新細明體"/>
          <w:color w:val="auto"/>
          <w:sz w:val="23"/>
          <w:szCs w:val="23"/>
        </w:rPr>
      </w:pPr>
      <w:r>
        <w:rPr>
          <w:rFonts w:ascii="新細明體" w:eastAsia="新細明體" w:hAnsi="Calibri" w:cs="新細明體" w:hint="eastAsia"/>
          <w:color w:val="auto"/>
          <w:sz w:val="23"/>
          <w:szCs w:val="23"/>
        </w:rPr>
        <w:t>二、復依前述辦法第</w:t>
      </w:r>
      <w:r>
        <w:rPr>
          <w:rFonts w:ascii="Calibri" w:eastAsia="新細明體" w:hAnsi="Calibri" w:cs="Calibri"/>
          <w:color w:val="auto"/>
          <w:sz w:val="23"/>
          <w:szCs w:val="23"/>
        </w:rPr>
        <w:t>12</w:t>
      </w:r>
      <w:r>
        <w:rPr>
          <w:rFonts w:ascii="新細明體" w:eastAsia="新細明體" w:hAnsi="Calibri" w:cs="新細明體" w:hint="eastAsia"/>
          <w:color w:val="auto"/>
          <w:sz w:val="23"/>
          <w:szCs w:val="23"/>
        </w:rPr>
        <w:t>條規定略以，送審代表著作非為學位論文之一部分，但屬延續性研究，送審人應主動提出說明；第</w:t>
      </w:r>
      <w:r>
        <w:rPr>
          <w:rFonts w:ascii="Calibri" w:eastAsia="新細明體" w:hAnsi="Calibri" w:cs="Calibri"/>
          <w:color w:val="auto"/>
          <w:sz w:val="23"/>
          <w:szCs w:val="23"/>
        </w:rPr>
        <w:t>14</w:t>
      </w:r>
      <w:r>
        <w:rPr>
          <w:rFonts w:ascii="新細明體" w:eastAsia="新細明體" w:hAnsi="Calibri" w:cs="新細明體" w:hint="eastAsia"/>
          <w:color w:val="auto"/>
          <w:sz w:val="23"/>
          <w:szCs w:val="23"/>
        </w:rPr>
        <w:t>條規定略以，本次送審代表著作與前次內容相近者，應檢附著作異同對照。其意旨在於先以學位論文取得助理教授資格後，再以同一論文重複送審兩種等級教師，有所不妥亦有違公平原則。該規定雖僅規範送審「代表著作」，惟對自審學校而言，為維護校內教師送審之公平性，並提供審查委員詳盡資料擬以辦理，依該規定精神，將參考著作納入規範，亦無不妥，請本於權責自行研處。</w:t>
      </w:r>
    </w:p>
    <w:sectPr w:rsidR="00236F2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2F"/>
    <w:rsid w:val="00221C10"/>
    <w:rsid w:val="00236F2F"/>
    <w:rsid w:val="002D7AD4"/>
    <w:rsid w:val="00921C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6F2F"/>
    <w:pPr>
      <w:widowControl w:val="0"/>
      <w:autoSpaceDE w:val="0"/>
      <w:autoSpaceDN w:val="0"/>
      <w:adjustRightInd w:val="0"/>
    </w:pPr>
    <w:rPr>
      <w:rFonts w:ascii="Wingdings" w:hAnsi="Wingdings" w:cs="Wingdings"/>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6F2F"/>
    <w:pPr>
      <w:widowControl w:val="0"/>
      <w:autoSpaceDE w:val="0"/>
      <w:autoSpaceDN w:val="0"/>
      <w:adjustRightInd w:val="0"/>
    </w:pPr>
    <w:rPr>
      <w:rFonts w:ascii="Wingdings" w:hAnsi="Wingdings" w:cs="Wingdings"/>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林郁芝</dc:creator>
  <cp:lastModifiedBy>user</cp:lastModifiedBy>
  <cp:revision>2</cp:revision>
  <dcterms:created xsi:type="dcterms:W3CDTF">2016-01-19T05:59:00Z</dcterms:created>
  <dcterms:modified xsi:type="dcterms:W3CDTF">2018-11-12T08:50:00Z</dcterms:modified>
</cp:coreProperties>
</file>