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6" w:rsidRPr="00F75F36" w:rsidRDefault="00575348" w:rsidP="00F75F3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法鼓文理學院</w:t>
      </w:r>
      <w:r w:rsidR="00F75F36" w:rsidRPr="00F75F36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升等著作送審Q&amp;A</w:t>
      </w:r>
    </w:p>
    <w:p w:rsidR="00F75F36" w:rsidRDefault="00F75F36" w:rsidP="00E04E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kern w:val="0"/>
          <w:szCs w:val="24"/>
        </w:rPr>
      </w:pPr>
    </w:p>
    <w:p w:rsidR="00F75F36" w:rsidRDefault="00F75F36" w:rsidP="00E04E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升等著作必須於幾年內所發表</w:t>
      </w:r>
      <w:r w:rsidRPr="00E04E4A"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  <w:t>(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出版</w:t>
      </w:r>
      <w:r w:rsidRPr="00E04E4A"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  <w:t>)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方可送審？</w:t>
      </w:r>
    </w:p>
    <w:p w:rsidR="00952E9E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bookmarkStart w:id="0" w:name="_GoBack"/>
      <w:bookmarkEnd w:id="0"/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取得前ㄧ等級教師證書後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，在國內外學術或專業刊物發表，或該刊物出具證明將定期發表，或在國內外具有正式審查程序研討會發表且集結成冊公開發行，或出版公開發行者。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Q2.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有關著作「出版公開發行」之疑義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491A9C96tCID-WinCharSetFFFF-H" w:eastAsia="TT491A9C96tCID-WinCharSetFFFF-H" w:hAnsi="Times New Roman" w:cs="TT491A9C96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Ａ：依據「專科以上學校教師資格審定辦法」規定所稱送審之專門著作應經出版公開發行者，係指著作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應由出版社或圖書公司印製發行，載有作者、出版者、發行人、發行日期、定價及</w:t>
      </w:r>
      <w:r w:rsidRPr="00E04E4A"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  <w:t>ISBN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編號等出版頁相關資料。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【如圖示</w:t>
      </w:r>
      <w:r w:rsidRPr="00E04E4A">
        <w:rPr>
          <w:rFonts w:ascii="TT491A9C96tCID-WinCharSetFFFF-H" w:eastAsia="TT491A9C96tCID-WinCharSetFFFF-H" w:hAnsi="Times New Roman" w:cs="TT491A9C96tCID-WinCharSetFFFF-H" w:hint="eastAsia"/>
          <w:color w:val="0E3F97"/>
          <w:kern w:val="0"/>
          <w:szCs w:val="24"/>
        </w:rPr>
        <w:t>】</w:t>
      </w:r>
      <w:r>
        <w:rPr>
          <w:rFonts w:ascii="TT491A9C96tCID-WinCharSetFFFF-H" w:eastAsia="TT491A9C96tCID-WinCharSetFFFF-H" w:hAnsi="Times New Roman" w:cs="TT491A9C96tCID-WinCharSetFFFF-H" w:hint="eastAsia"/>
          <w:noProof/>
          <w:color w:val="0E3F97"/>
          <w:kern w:val="0"/>
          <w:szCs w:val="24"/>
        </w:rPr>
        <w:drawing>
          <wp:inline distT="0" distB="0" distL="0" distR="0" wp14:anchorId="435842FA" wp14:editId="2C0E4E42">
            <wp:extent cx="3505200" cy="5075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97" cy="507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491A9C96tCID-WinCharSetFFFF-H" w:eastAsia="TT491A9C96tCID-WinCharSetFFFF-H" w:hAnsi="Times New Roman" w:cs="TT491A9C96tCID-WinCharSetFFFF-H"/>
          <w:color w:val="0E3F97"/>
          <w:kern w:val="0"/>
          <w:szCs w:val="24"/>
        </w:rPr>
      </w:pPr>
    </w:p>
    <w:p w:rsidR="00F75F36" w:rsidRDefault="00F75F36" w:rsidP="00E04E4A">
      <w:pPr>
        <w:autoSpaceDE w:val="0"/>
        <w:autoSpaceDN w:val="0"/>
        <w:adjustRightInd w:val="0"/>
        <w:snapToGrid w:val="0"/>
        <w:rPr>
          <w:rFonts w:ascii="TT491A9C96tCID-WinCharSetFFFF-H" w:eastAsia="TT491A9C96tCID-WinCharSetFFFF-H" w:hAnsi="Times New Roman" w:cs="TT491A9C96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lastRenderedPageBreak/>
        <w:t>Q3.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送審之專書是否得以簽定同意出版之合約代表已出版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不可以。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有關「經出版公開發行者」，其「公開」之定義係指專書已正式出版，於市面流通，如教師僅取得簽定同意出版之合約，仍與規定不符。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Q4.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學術研討會發表論文可否作為參考作送審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可以，但需符合出版規定。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研討會發表之論文，應由主辦研討會單位於會後集結成冊公開發行，送審人應提供該論文正式審查程序之證明及出版頁</w:t>
      </w:r>
      <w:r w:rsidRPr="00E04E4A"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  <w:t>(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含出版者、發行人、發行日期、</w:t>
      </w:r>
      <w:r w:rsidRPr="00E04E4A"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  <w:t>ISBN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編號等</w:t>
      </w:r>
      <w:r w:rsidRPr="00E04E4A"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  <w:t>)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證明，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無法提供出版頁證明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者，該篇論文只能列在參考資料，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不得列為參考著作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送外審。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Q5.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升著作原刊或抽印本取得困難，得否以影印本或</w:t>
      </w:r>
      <w:r w:rsidRPr="00E04E4A">
        <w:rPr>
          <w:rFonts w:ascii="Arial" w:hAnsi="Arial" w:cs="Arial"/>
          <w:b/>
          <w:bCs/>
          <w:kern w:val="0"/>
          <w:szCs w:val="24"/>
        </w:rPr>
        <w:t>PDF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列印本取代？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可以。需簽經學校同意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得以影印本或</w:t>
      </w:r>
      <w:r w:rsidRPr="00E04E4A"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  <w:t>PDF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列印本取代，但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須由教師出具聲明書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，並說明原刊館藏地點，保證內容與原刊無誤，如有不實，應自負法律責任。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Q6.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論文刊載於何種雜誌刊物才能被認定？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Ａ：需經各學域認可，並且經過審查正式出版之學術論文。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以該刊物具有論文審查委員，經審查後予以刊登者。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Q7.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升等代表著作可否為數人合著之作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可以，但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僅可一人送審，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他人須放棄以該著作作為代表著作送審之權利。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需另填合著人證明，詳載本人參與之部分，並由合著人簽章證明。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Q8.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如有已接受將定期發表之期刊論文可否作送審著作？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可以，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但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應檢附已接受將定期發表之證明文件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且其專門著作應於一年內發表，並於發表後二個月內，送交學校查核並存檔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 xml:space="preserve">Q9. 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專門著作已為接受應於一年內發表之時間起計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Ａ：「專科以上學校教師資格審定辦法」第</w:t>
      </w:r>
      <w:r w:rsidRPr="00E04E4A">
        <w:rPr>
          <w:rFonts w:ascii="Times New Roman" w:hAnsi="Times New Roman" w:cs="Times New Roman"/>
          <w:color w:val="0E3F97"/>
          <w:kern w:val="0"/>
          <w:szCs w:val="24"/>
        </w:rPr>
        <w:t>4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條條文中，有關教師持「已為接受將定期發表之證明，其專門作應於一年內發表」者，其</w:t>
      </w:r>
      <w:r w:rsidRPr="00E04E4A">
        <w:rPr>
          <w:rFonts w:ascii="Times New Roman" w:hAnsi="Times New Roman" w:cs="Times New Roman"/>
          <w:color w:val="0E3F97"/>
          <w:kern w:val="0"/>
          <w:szCs w:val="24"/>
        </w:rPr>
        <w:t>1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年之起計時間點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應以該刊物證明上所載日期為準。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Q10.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已接受將定期發表之期刊論文未能於一年內發表，應如何展延？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如因不可歸責於送審者之事由，應檢具該刊物出具未能發表原因及確定發表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lastRenderedPageBreak/>
        <w:t>時間之證明申請展延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，經校教評會評審，通報教育部後予以展延。未依規定期限發表並送繳發表之專門著作，送審資格者將駁回申請或撤銷已審定之教師資格。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Q11.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送審代表著作經審定不通過者，可否以相同題目作為送審著作？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可以。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原送著作內容經審查未達規定標準不通過者，其著作內容經相當之改進並出版後，仍得以同一題目之著作送審。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但必須附前次送審著作及新舊著作異同對照表。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Q12.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升等著作是否得將翻譯著作列為參考著作之疑義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Ａ：依據「專科以上教師資格審定辦法」規定：送審之專門著作，應有個人之原創性，不得以整理、增刪、組合或編排他人著作而成之編著送審之規定意旨，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翻譯著作未具有個人之原創性，不得列為送審之參考著作。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 xml:space="preserve">Q13. 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「編著」之作品申請者可否當升等送審著作？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不可以。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所謂「編著」係指整理、增刪、組合或編排他人著作等。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Q14.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教科書、工具書、傳記、翻譯等可否當送審代表著作？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不可以。僅可列為參考著作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（但限五年內出版者）。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Q15.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升等送審之撰寫著作是否有語文上的限制？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可不限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；如以外文撰寫者，應附中文提要。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但任教科目為外國語文者，應以所授語文撰寫之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，惟參考著作並未受限。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Q16.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代表著作</w:t>
      </w:r>
      <w:r w:rsidRPr="00E04E4A">
        <w:rPr>
          <w:rFonts w:ascii="Arial" w:hAnsi="Arial" w:cs="Arial"/>
          <w:b/>
          <w:bCs/>
          <w:kern w:val="0"/>
          <w:szCs w:val="24"/>
        </w:rPr>
        <w:t>(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主論文</w:t>
      </w:r>
      <w:r w:rsidRPr="00E04E4A">
        <w:rPr>
          <w:rFonts w:ascii="Arial" w:hAnsi="Arial" w:cs="Arial"/>
          <w:b/>
          <w:bCs/>
          <w:kern w:val="0"/>
          <w:szCs w:val="24"/>
        </w:rPr>
        <w:t>)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如屬一系列之相關研究者，可合併為代表作？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可以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0339A"/>
          <w:kern w:val="0"/>
          <w:szCs w:val="24"/>
        </w:rPr>
        <w:t>以二種以上著作送審者應自行擇定代表著作及參考著作。其屬一系列之相關研究者，得合併為代表著作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應註明同為代表著作（一）（二）……。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Q17.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升等送審著作性質是否與任教科目相關之認定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由系教評會認定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，院級教評會覆核</w:t>
      </w:r>
    </w:p>
    <w:p w:rsid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Q18.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升等時採計留職停薪的年資方式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Ａ：經學校同意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留職停薪進修者，最多採計一年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；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留職停薪借調者，最多採計二年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，另因病留職停薪者，一律不採年資。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Q19.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系所及院教評會審議教授升等案件，副教授等級以下委員是否需迴避？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是。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本校系級及院級教師評審委員會設置辦法準則規定：教評會委員為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D72690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審查案之當事人應迴避之，對於重大案件，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低階委員應迴避參與高一階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（含）以上教師審議案件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。應迴避委員不計入應出席委員，迴避後至少有五人，始得繼續討論。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b/>
          <w:kern w:val="0"/>
          <w:szCs w:val="24"/>
        </w:rPr>
      </w:pPr>
      <w:r w:rsidRPr="00E04E4A">
        <w:rPr>
          <w:rFonts w:ascii="Times New Roman" w:hAnsi="Times New Roman" w:cs="Times New Roman"/>
          <w:b/>
          <w:bCs/>
          <w:kern w:val="0"/>
          <w:szCs w:val="24"/>
        </w:rPr>
        <w:t>Q20.</w:t>
      </w:r>
      <w:r w:rsidRPr="00E04E4A">
        <w:rPr>
          <w:rFonts w:ascii="TTB7CF9C5CtCID-WinCharSetFFFF-H" w:eastAsia="TTB7CF9C5CtCID-WinCharSetFFFF-H" w:hAnsi="Times New Roman" w:cs="TTB7CF9C5CtCID-WinCharSetFFFF-H" w:hint="eastAsia"/>
          <w:b/>
          <w:kern w:val="0"/>
          <w:szCs w:val="24"/>
        </w:rPr>
        <w:t>升等著作送校外審查之迴避原則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Ａ：依本校「升等著作外審作業要點」規定外審應避免之人士：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D72690"/>
          <w:kern w:val="0"/>
          <w:szCs w:val="24"/>
        </w:rPr>
        <w:t>當事人之論文指導教授、與當事人有密切合作關係者、與當事人有特殊私誼者、與送審人在同一學校（尤其是同一系所）服務者</w:t>
      </w:r>
      <w:r w:rsidRPr="00E04E4A">
        <w:rPr>
          <w:rFonts w:ascii="TTB7CF9C5CtCID-WinCharSetFFFF-H" w:eastAsia="TTB7CF9C5CtCID-WinCharSetFFFF-H" w:hAnsi="Times New Roman" w:cs="TTB7CF9C5CtCID-WinCharSetFFFF-H" w:hint="eastAsia"/>
          <w:color w:val="0E3F97"/>
          <w:kern w:val="0"/>
          <w:szCs w:val="24"/>
        </w:rPr>
        <w:t>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hAnsi="Times New Roman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b/>
          <w:kern w:val="0"/>
          <w:szCs w:val="24"/>
          <w:u w:val="single"/>
        </w:rPr>
      </w:pPr>
      <w:r w:rsidRPr="00E04E4A">
        <w:rPr>
          <w:rFonts w:ascii="TTB7CF9C5CtCID-WinCharSetFFFF-H" w:eastAsia="TTB7CF9C5CtCID-WinCharSetFFFF-H" w:cs="TTB7CF9C5CtCID-WinCharSetFFFF-H" w:hint="eastAsia"/>
          <w:b/>
          <w:kern w:val="0"/>
          <w:szCs w:val="24"/>
          <w:u w:val="single"/>
        </w:rPr>
        <w:t>參、送審較常見錯誤（</w:t>
      </w:r>
      <w:r w:rsidRPr="00E04E4A">
        <w:rPr>
          <w:rFonts w:ascii="Times New Roman" w:eastAsia="TTB7CF9C5CtCID-WinCharSetFFFF-H" w:hAnsi="Times New Roman" w:cs="Times New Roman"/>
          <w:b/>
          <w:bCs/>
          <w:kern w:val="0"/>
          <w:szCs w:val="24"/>
          <w:u w:val="single"/>
        </w:rPr>
        <w:t>1</w:t>
      </w:r>
      <w:r w:rsidRPr="00E04E4A">
        <w:rPr>
          <w:rFonts w:ascii="TTB7CF9C5CtCID-WinCharSetFFFF-H" w:eastAsia="TTB7CF9C5CtCID-WinCharSetFFFF-H" w:cs="TTB7CF9C5CtCID-WinCharSetFFFF-H" w:hint="eastAsia"/>
          <w:b/>
          <w:kern w:val="0"/>
          <w:szCs w:val="24"/>
          <w:u w:val="single"/>
        </w:rPr>
        <w:t>）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研討會論文未於會後集結成冊出版並未附出版頁證明。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已接受預計於一年內刊登之論文未附預計出版證明。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代表著作係數人合著未附合著人證明。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送審著作不符規定期限。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送審著作與申請表之附表填寫不一致。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b/>
          <w:kern w:val="0"/>
          <w:szCs w:val="24"/>
          <w:u w:val="single"/>
        </w:rPr>
      </w:pPr>
      <w:r w:rsidRPr="00E04E4A">
        <w:rPr>
          <w:rFonts w:ascii="TTB7CF9C5CtCID-WinCharSetFFFF-H" w:eastAsia="TTB7CF9C5CtCID-WinCharSetFFFF-H" w:cs="TTB7CF9C5CtCID-WinCharSetFFFF-H" w:hint="eastAsia"/>
          <w:b/>
          <w:kern w:val="0"/>
          <w:szCs w:val="24"/>
          <w:u w:val="single"/>
        </w:rPr>
        <w:t>參、送審較常見錯誤（續</w:t>
      </w:r>
      <w:r w:rsidRPr="00E04E4A">
        <w:rPr>
          <w:rFonts w:ascii="Times New Roman" w:eastAsia="TTB7CF9C5CtCID-WinCharSetFFFF-H" w:hAnsi="Times New Roman" w:cs="Times New Roman"/>
          <w:b/>
          <w:bCs/>
          <w:kern w:val="0"/>
          <w:szCs w:val="24"/>
          <w:u w:val="single"/>
        </w:rPr>
        <w:t>2</w:t>
      </w:r>
      <w:r w:rsidRPr="00E04E4A">
        <w:rPr>
          <w:rFonts w:ascii="TTB7CF9C5CtCID-WinCharSetFFFF-H" w:eastAsia="TTB7CF9C5CtCID-WinCharSetFFFF-H" w:cs="TTB7CF9C5CtCID-WinCharSetFFFF-H" w:hint="eastAsia"/>
          <w:b/>
          <w:kern w:val="0"/>
          <w:szCs w:val="24"/>
          <w:u w:val="single"/>
        </w:rPr>
        <w:t>）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分不清參考著作與參考資料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Wingdings" w:eastAsia="TTB7CF9C5CtCID-WinCharSetFFFF-H" w:hAnsi="Wingdings" w:cs="Wingdings"/>
          <w:kern w:val="0"/>
          <w:szCs w:val="24"/>
        </w:rPr>
        <w:t>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教師自取得前一等級教師資格期間，所有個人在專業或學術上之成果，得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一併作為送審之參考資料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kern w:val="0"/>
          <w:szCs w:val="24"/>
        </w:rPr>
      </w:pPr>
      <w:r w:rsidRPr="00E04E4A">
        <w:rPr>
          <w:rFonts w:ascii="Wingdings" w:eastAsia="TTB7CF9C5CtCID-WinCharSetFFFF-H" w:hAnsi="Wingdings" w:cs="Wingdings"/>
          <w:kern w:val="0"/>
          <w:szCs w:val="24"/>
        </w:rPr>
        <w:t></w:t>
      </w:r>
      <w:r w:rsidRPr="00E04E4A">
        <w:rPr>
          <w:rFonts w:ascii="Wingdings" w:eastAsia="TTB7CF9C5CtCID-WinCharSetFFFF-H" w:hAnsi="Wingdings" w:cs="Wingdings"/>
          <w:kern w:val="0"/>
          <w:szCs w:val="24"/>
        </w:rPr>
        <w:t>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超過</w:t>
      </w:r>
      <w:r w:rsidRPr="00E04E4A">
        <w:rPr>
          <w:rFonts w:ascii="TTB7CF9C5CtCID-WinCharSetFFFF-H" w:eastAsia="TTB7CF9C5CtCID-WinCharSetFFFF-H" w:cs="TTB7CF9C5CtCID-WinCharSetFFFF-H"/>
          <w:kern w:val="0"/>
          <w:szCs w:val="24"/>
        </w:rPr>
        <w:t>3</w:t>
      </w:r>
      <w:r w:rsidRPr="00E04E4A">
        <w:rPr>
          <w:rFonts w:ascii="TTB7CF9C5CtCID-WinCharSetFFFF-H" w:eastAsia="TTB7CF9C5CtCID-WinCharSetFFFF-H" w:cs="TTB7CF9C5CtCID-WinCharSetFFFF-H" w:hint="eastAsia"/>
          <w:kern w:val="0"/>
          <w:szCs w:val="24"/>
        </w:rPr>
        <w:t>冊以上之專書、教學或研究成果（如委託研究計畫、專業調查報告、教材研製等）、編著、未附具出版頁之研討會論文、譯著、其他不符參考著作規定者</w:t>
      </w: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rFonts w:ascii="TTB7CF9C5CtCID-WinCharSetFFFF-H" w:eastAsia="TTB7CF9C5CtCID-WinCharSetFFFF-H" w:cs="TTB7CF9C5CtCID-WinCharSetFFFF-H"/>
          <w:color w:val="0E3F97"/>
          <w:kern w:val="0"/>
          <w:szCs w:val="24"/>
        </w:rPr>
      </w:pPr>
    </w:p>
    <w:p w:rsidR="00E04E4A" w:rsidRPr="00E04E4A" w:rsidRDefault="00E04E4A" w:rsidP="00E04E4A">
      <w:pPr>
        <w:autoSpaceDE w:val="0"/>
        <w:autoSpaceDN w:val="0"/>
        <w:adjustRightInd w:val="0"/>
        <w:snapToGrid w:val="0"/>
        <w:rPr>
          <w:szCs w:val="24"/>
        </w:rPr>
      </w:pPr>
    </w:p>
    <w:sectPr w:rsidR="00E04E4A" w:rsidRPr="00E04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13" w:rsidRDefault="00953413" w:rsidP="00953413">
      <w:r>
        <w:separator/>
      </w:r>
    </w:p>
  </w:endnote>
  <w:endnote w:type="continuationSeparator" w:id="0">
    <w:p w:rsidR="00953413" w:rsidRDefault="00953413" w:rsidP="009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13" w:rsidRDefault="00953413" w:rsidP="00953413">
      <w:r>
        <w:separator/>
      </w:r>
    </w:p>
  </w:footnote>
  <w:footnote w:type="continuationSeparator" w:id="0">
    <w:p w:rsidR="00953413" w:rsidRDefault="00953413" w:rsidP="0095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4A"/>
    <w:rsid w:val="00575348"/>
    <w:rsid w:val="00952E9E"/>
    <w:rsid w:val="00953413"/>
    <w:rsid w:val="00E04E4A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4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34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34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4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34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34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2014-10-29T05:47:00Z</cp:lastPrinted>
  <dcterms:created xsi:type="dcterms:W3CDTF">2014-10-29T05:36:00Z</dcterms:created>
  <dcterms:modified xsi:type="dcterms:W3CDTF">2018-09-28T04:08:00Z</dcterms:modified>
</cp:coreProperties>
</file>